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4753D" w:rsidRPr="008E0B00" w14:paraId="14615B98" w14:textId="77777777">
        <w:tc>
          <w:tcPr>
            <w:tcW w:w="9016" w:type="dxa"/>
            <w:shd w:val="clear" w:color="auto" w:fill="D9E2F3" w:themeFill="accent1" w:themeFillTint="33"/>
          </w:tcPr>
          <w:p w14:paraId="10F7FAE8" w14:textId="5305C855" w:rsidR="0044753D" w:rsidRPr="00292B84" w:rsidRDefault="0044753D" w:rsidP="00222AD6">
            <w:pPr>
              <w:pStyle w:val="GuidanceTextCollapsible"/>
              <w:rPr>
                <w:rFonts w:ascii="Source Sans Pro" w:hAnsi="Source Sans Pro"/>
              </w:rPr>
            </w:pPr>
            <w:r w:rsidRPr="00292B84">
              <w:rPr>
                <w:rFonts w:ascii="Source Sans Pro" w:hAnsi="Source Sans Pro"/>
              </w:rPr>
              <w:t>HOW TO USE TH</w:t>
            </w:r>
            <w:r w:rsidR="005D70B3" w:rsidRPr="00292B84">
              <w:rPr>
                <w:rFonts w:ascii="Source Sans Pro" w:hAnsi="Source Sans Pro"/>
              </w:rPr>
              <w:t>E</w:t>
            </w:r>
            <w:r w:rsidR="00257F65" w:rsidRPr="00292B84">
              <w:rPr>
                <w:rFonts w:ascii="Source Sans Pro" w:hAnsi="Source Sans Pro"/>
              </w:rPr>
              <w:t xml:space="preserve"> </w:t>
            </w:r>
            <w:r w:rsidR="002609B6">
              <w:rPr>
                <w:rFonts w:ascii="Source Sans Pro" w:hAnsi="Source Sans Pro"/>
              </w:rPr>
              <w:t xml:space="preserve">COST RECOVERY </w:t>
            </w:r>
            <w:r w:rsidR="00C155C5" w:rsidRPr="00292B84">
              <w:rPr>
                <w:rFonts w:ascii="Source Sans Pro" w:hAnsi="Source Sans Pro"/>
              </w:rPr>
              <w:t>ANALYSIS SUMMARY</w:t>
            </w:r>
            <w:r w:rsidR="0047306C" w:rsidRPr="00292B84">
              <w:rPr>
                <w:rFonts w:ascii="Source Sans Pro" w:hAnsi="Source Sans Pro"/>
              </w:rPr>
              <w:t xml:space="preserve"> </w:t>
            </w:r>
            <w:r w:rsidR="00257F65" w:rsidRPr="00292B84">
              <w:rPr>
                <w:rFonts w:ascii="Source Sans Pro" w:hAnsi="Source Sans Pro"/>
              </w:rPr>
              <w:t>(</w:t>
            </w:r>
            <w:r w:rsidR="002609B6">
              <w:rPr>
                <w:rFonts w:ascii="Source Sans Pro" w:hAnsi="Source Sans Pro"/>
              </w:rPr>
              <w:t>C</w:t>
            </w:r>
            <w:r w:rsidR="0047306C" w:rsidRPr="00292B84">
              <w:rPr>
                <w:rFonts w:ascii="Source Sans Pro" w:hAnsi="Source Sans Pro"/>
              </w:rPr>
              <w:t>RAS</w:t>
            </w:r>
            <w:r w:rsidR="00257F65" w:rsidRPr="00292B84">
              <w:rPr>
                <w:rFonts w:ascii="Source Sans Pro" w:hAnsi="Source Sans Pro"/>
              </w:rPr>
              <w:t>)</w:t>
            </w:r>
            <w:r w:rsidRPr="00292B84">
              <w:rPr>
                <w:rFonts w:ascii="Source Sans Pro" w:hAnsi="Source Sans Pro"/>
              </w:rPr>
              <w:t xml:space="preserve"> TEMPLATE</w:t>
            </w:r>
          </w:p>
        </w:tc>
      </w:tr>
      <w:tr w:rsidR="0044753D" w:rsidRPr="008E0B00" w14:paraId="4ECC5EBB" w14:textId="77777777" w:rsidTr="007B0458">
        <w:trPr>
          <w:trHeight w:val="8357"/>
        </w:trPr>
        <w:tc>
          <w:tcPr>
            <w:tcW w:w="9016" w:type="dxa"/>
            <w:shd w:val="clear" w:color="auto" w:fill="E2EFD9" w:themeFill="accent6" w:themeFillTint="33"/>
          </w:tcPr>
          <w:p w14:paraId="382CAB92" w14:textId="2FC25F00" w:rsidR="001F63AB" w:rsidRPr="00292B84" w:rsidRDefault="001F63AB">
            <w:pPr>
              <w:pStyle w:val="Bullet-list"/>
              <w:numPr>
                <w:ilvl w:val="0"/>
                <w:numId w:val="0"/>
              </w:numPr>
              <w:shd w:val="clear" w:color="auto" w:fill="E2EFD9" w:themeFill="accent6" w:themeFillTint="33"/>
              <w:spacing w:after="120"/>
              <w:rPr>
                <w:rFonts w:ascii="Source Sans Pro" w:hAnsi="Source Sans Pro"/>
                <w:b/>
                <w:i/>
              </w:rPr>
            </w:pPr>
          </w:p>
          <w:p w14:paraId="1C5F550C" w14:textId="6D56FA17" w:rsidR="002609B6" w:rsidRDefault="007A2A40">
            <w:pPr>
              <w:pStyle w:val="Bullet-list"/>
              <w:numPr>
                <w:ilvl w:val="0"/>
                <w:numId w:val="0"/>
              </w:numPr>
              <w:shd w:val="clear" w:color="auto" w:fill="E2EFD9" w:themeFill="accent6" w:themeFillTint="33"/>
              <w:spacing w:after="120"/>
              <w:rPr>
                <w:rFonts w:ascii="Source Sans Pro" w:hAnsi="Source Sans Pro"/>
                <w:b/>
                <w:i/>
              </w:rPr>
            </w:pPr>
            <w:r w:rsidRPr="00292B84">
              <w:rPr>
                <w:rFonts w:ascii="Source Sans Pro" w:hAnsi="Source Sans Pro"/>
                <w:b/>
                <w:i/>
              </w:rPr>
              <w:t>Th</w:t>
            </w:r>
            <w:r w:rsidR="002609B6">
              <w:rPr>
                <w:rFonts w:ascii="Source Sans Pro" w:hAnsi="Source Sans Pro"/>
                <w:b/>
                <w:i/>
              </w:rPr>
              <w:t>is</w:t>
            </w:r>
            <w:r w:rsidRPr="00292B84">
              <w:rPr>
                <w:rFonts w:ascii="Source Sans Pro" w:hAnsi="Source Sans Pro"/>
                <w:b/>
                <w:i/>
              </w:rPr>
              <w:t xml:space="preserve"> </w:t>
            </w:r>
            <w:r w:rsidR="002609B6">
              <w:rPr>
                <w:rFonts w:ascii="Source Sans Pro" w:hAnsi="Source Sans Pro"/>
                <w:b/>
                <w:i/>
              </w:rPr>
              <w:t>C</w:t>
            </w:r>
            <w:r w:rsidR="00100BCF" w:rsidRPr="00292B84">
              <w:rPr>
                <w:rFonts w:ascii="Source Sans Pro" w:hAnsi="Source Sans Pro"/>
                <w:b/>
                <w:i/>
              </w:rPr>
              <w:t xml:space="preserve">RAS </w:t>
            </w:r>
            <w:r w:rsidR="00DA2AED" w:rsidRPr="00292B84">
              <w:rPr>
                <w:rFonts w:ascii="Source Sans Pro" w:hAnsi="Source Sans Pro"/>
                <w:b/>
                <w:i/>
              </w:rPr>
              <w:t xml:space="preserve">template </w:t>
            </w:r>
            <w:r w:rsidR="006B7B04" w:rsidRPr="00292B84">
              <w:rPr>
                <w:rFonts w:ascii="Source Sans Pro" w:hAnsi="Source Sans Pro"/>
                <w:b/>
                <w:i/>
              </w:rPr>
              <w:t xml:space="preserve">replaces the previous </w:t>
            </w:r>
            <w:r w:rsidR="002609B6">
              <w:rPr>
                <w:rFonts w:ascii="Source Sans Pro" w:hAnsi="Source Sans Pro"/>
                <w:b/>
                <w:i/>
              </w:rPr>
              <w:t>Cost Recovery Impact Statement 2</w:t>
            </w:r>
            <w:r w:rsidR="003B7B95" w:rsidRPr="00292B84">
              <w:rPr>
                <w:rFonts w:ascii="Source Sans Pro" w:hAnsi="Source Sans Pro"/>
                <w:b/>
                <w:i/>
              </w:rPr>
              <w:t xml:space="preserve"> </w:t>
            </w:r>
            <w:r w:rsidR="00E33955" w:rsidRPr="00292B84">
              <w:rPr>
                <w:rFonts w:ascii="Source Sans Pro" w:hAnsi="Source Sans Pro"/>
                <w:b/>
                <w:i/>
              </w:rPr>
              <w:t>(</w:t>
            </w:r>
            <w:r w:rsidR="002609B6">
              <w:rPr>
                <w:rFonts w:ascii="Source Sans Pro" w:hAnsi="Source Sans Pro"/>
                <w:b/>
                <w:i/>
              </w:rPr>
              <w:t>C</w:t>
            </w:r>
            <w:r w:rsidR="006B7B04" w:rsidRPr="00292B84">
              <w:rPr>
                <w:rFonts w:ascii="Source Sans Pro" w:hAnsi="Source Sans Pro"/>
                <w:b/>
                <w:i/>
              </w:rPr>
              <w:t>RIS</w:t>
            </w:r>
            <w:r w:rsidR="002609B6">
              <w:rPr>
                <w:rFonts w:ascii="Source Sans Pro" w:hAnsi="Source Sans Pro"/>
                <w:b/>
                <w:i/>
              </w:rPr>
              <w:t xml:space="preserve"> 2</w:t>
            </w:r>
            <w:r w:rsidR="00E33955" w:rsidRPr="00292B84">
              <w:rPr>
                <w:rFonts w:ascii="Source Sans Pro" w:hAnsi="Source Sans Pro"/>
                <w:b/>
                <w:i/>
              </w:rPr>
              <w:t>)</w:t>
            </w:r>
            <w:r w:rsidR="006B7B04" w:rsidRPr="00292B84">
              <w:rPr>
                <w:rFonts w:ascii="Source Sans Pro" w:hAnsi="Source Sans Pro"/>
                <w:b/>
                <w:i/>
              </w:rPr>
              <w:t xml:space="preserve"> </w:t>
            </w:r>
            <w:r w:rsidR="002609B6">
              <w:rPr>
                <w:rFonts w:ascii="Source Sans Pro" w:hAnsi="Source Sans Pro"/>
                <w:b/>
                <w:i/>
              </w:rPr>
              <w:t xml:space="preserve">template. </w:t>
            </w:r>
            <w:r w:rsidR="004C76A8">
              <w:rPr>
                <w:rFonts w:ascii="Source Sans Pro" w:hAnsi="Source Sans Pro"/>
                <w:b/>
                <w:i/>
              </w:rPr>
              <w:t xml:space="preserve"> Use this template for proposals seeking agreement on cost recovery levels.</w:t>
            </w:r>
          </w:p>
          <w:p w14:paraId="0A9ACE8D" w14:textId="47D489A3" w:rsidR="007B0458" w:rsidRDefault="007B0458">
            <w:pPr>
              <w:pStyle w:val="Bullet-list"/>
              <w:numPr>
                <w:ilvl w:val="0"/>
                <w:numId w:val="0"/>
              </w:numPr>
              <w:shd w:val="clear" w:color="auto" w:fill="E2EFD9" w:themeFill="accent6" w:themeFillTint="33"/>
              <w:spacing w:after="120"/>
              <w:rPr>
                <w:rFonts w:ascii="Source Sans Pro" w:hAnsi="Source Sans Pro"/>
                <w:b/>
                <w:i/>
              </w:rPr>
            </w:pPr>
            <w:r w:rsidRPr="007B0458">
              <w:rPr>
                <w:rFonts w:ascii="Source Sans Pro" w:hAnsi="Source Sans Pro"/>
                <w:b/>
                <w:i/>
                <w:highlight w:val="yellow"/>
              </w:rPr>
              <w:t xml:space="preserve">Note </w:t>
            </w:r>
            <w:r w:rsidRPr="007D0B6A">
              <w:rPr>
                <w:rFonts w:ascii="Source Sans Pro" w:hAnsi="Source Sans Pro"/>
                <w:b/>
                <w:i/>
                <w:highlight w:val="yellow"/>
              </w:rPr>
              <w:t>that this CRAS template will be updated</w:t>
            </w:r>
            <w:r w:rsidR="00900A57" w:rsidRPr="007D0B6A">
              <w:rPr>
                <w:rFonts w:ascii="Source Sans Pro" w:hAnsi="Source Sans Pro"/>
                <w:b/>
                <w:i/>
                <w:highlight w:val="yellow"/>
              </w:rPr>
              <w:t xml:space="preserve"> </w:t>
            </w:r>
            <w:r w:rsidR="00174117" w:rsidRPr="007D0B6A">
              <w:rPr>
                <w:rFonts w:ascii="Source Sans Pro" w:hAnsi="Source Sans Pro"/>
                <w:b/>
                <w:i/>
                <w:highlight w:val="yellow"/>
              </w:rPr>
              <w:t>following the implementation of the Regulatory Standards Act 2025. Please check the Ministry for Regulation website for the most up-t</w:t>
            </w:r>
            <w:r w:rsidR="00B3037F" w:rsidRPr="007D0B6A">
              <w:rPr>
                <w:rFonts w:ascii="Source Sans Pro" w:hAnsi="Source Sans Pro"/>
                <w:b/>
                <w:i/>
                <w:highlight w:val="yellow"/>
              </w:rPr>
              <w:t>o-date template.</w:t>
            </w:r>
          </w:p>
          <w:p w14:paraId="3C83D073" w14:textId="0897569F" w:rsidR="002751EE" w:rsidRPr="00292B84" w:rsidRDefault="00500586">
            <w:pPr>
              <w:pStyle w:val="Bullet-list"/>
              <w:numPr>
                <w:ilvl w:val="0"/>
                <w:numId w:val="0"/>
              </w:numPr>
              <w:shd w:val="clear" w:color="auto" w:fill="E2EFD9" w:themeFill="accent6" w:themeFillTint="33"/>
              <w:spacing w:after="120"/>
              <w:rPr>
                <w:rFonts w:ascii="Source Sans Pro" w:hAnsi="Source Sans Pro"/>
                <w:bCs/>
                <w:iCs/>
              </w:rPr>
            </w:pPr>
            <w:r w:rsidRPr="00292B84">
              <w:rPr>
                <w:rFonts w:ascii="Source Sans Pro" w:hAnsi="Source Sans Pro"/>
                <w:bCs/>
                <w:i/>
              </w:rPr>
              <w:t>d</w:t>
            </w:r>
            <w:r w:rsidR="00DA2AED" w:rsidRPr="00292B84">
              <w:rPr>
                <w:rFonts w:ascii="Source Sans Pro" w:hAnsi="Source Sans Pro"/>
                <w:bCs/>
                <w:i/>
              </w:rPr>
              <w:t xml:space="preserve"> </w:t>
            </w:r>
            <w:r w:rsidR="00100BCF" w:rsidRPr="00292B84">
              <w:rPr>
                <w:rFonts w:ascii="Source Sans Pro" w:hAnsi="Source Sans Pro"/>
                <w:bCs/>
                <w:i/>
              </w:rPr>
              <w:t xml:space="preserve">to </w:t>
            </w:r>
            <w:r w:rsidR="00AC0529" w:rsidRPr="00292B84">
              <w:rPr>
                <w:rFonts w:ascii="Source Sans Pro" w:hAnsi="Source Sans Pro"/>
                <w:bCs/>
                <w:i/>
              </w:rPr>
              <w:t>i</w:t>
            </w:r>
            <w:r w:rsidR="00100BCF" w:rsidRPr="00292B84">
              <w:rPr>
                <w:rFonts w:ascii="Source Sans Pro" w:hAnsi="Source Sans Pro"/>
                <w:bCs/>
                <w:i/>
              </w:rPr>
              <w:t xml:space="preserve">nform </w:t>
            </w:r>
            <w:r w:rsidR="00AC0529" w:rsidRPr="00292B84">
              <w:rPr>
                <w:rFonts w:ascii="Source Sans Pro" w:hAnsi="Source Sans Pro"/>
                <w:bCs/>
                <w:i/>
              </w:rPr>
              <w:t>Ministers</w:t>
            </w:r>
            <w:r w:rsidR="00FB0451" w:rsidRPr="00292B84">
              <w:rPr>
                <w:rFonts w:ascii="Source Sans Pro" w:hAnsi="Source Sans Pro"/>
                <w:bCs/>
                <w:i/>
              </w:rPr>
              <w:t>’ policy decisions</w:t>
            </w:r>
            <w:r w:rsidR="001D7451" w:rsidRPr="00292B84">
              <w:rPr>
                <w:rFonts w:ascii="Source Sans Pro" w:hAnsi="Source Sans Pro"/>
                <w:bCs/>
                <w:i/>
              </w:rPr>
              <w:t xml:space="preserve"> at Cabinet</w:t>
            </w:r>
            <w:r w:rsidR="00DA2AED" w:rsidRPr="00292B84">
              <w:rPr>
                <w:rFonts w:ascii="Source Sans Pro" w:hAnsi="Source Sans Pro"/>
                <w:bCs/>
                <w:i/>
              </w:rPr>
              <w:t>.</w:t>
            </w:r>
          </w:p>
          <w:p w14:paraId="74D33EA4" w14:textId="612A27BD" w:rsidR="00B20AC4" w:rsidRPr="00292B84" w:rsidRDefault="00B20AC4">
            <w:pPr>
              <w:pStyle w:val="Bullet-list"/>
              <w:numPr>
                <w:ilvl w:val="0"/>
                <w:numId w:val="0"/>
              </w:numPr>
              <w:shd w:val="clear" w:color="auto" w:fill="E2EFD9" w:themeFill="accent6" w:themeFillTint="33"/>
              <w:spacing w:after="120"/>
              <w:rPr>
                <w:rFonts w:ascii="Source Sans Pro" w:hAnsi="Source Sans Pro"/>
                <w:bCs/>
                <w:iCs/>
              </w:rPr>
            </w:pPr>
          </w:p>
          <w:p w14:paraId="12B99285" w14:textId="0ED9ECDE" w:rsidR="002751EE" w:rsidRPr="00292B84" w:rsidRDefault="00EE1058">
            <w:pPr>
              <w:pStyle w:val="Bullet-list"/>
              <w:numPr>
                <w:ilvl w:val="0"/>
                <w:numId w:val="0"/>
              </w:numPr>
              <w:shd w:val="clear" w:color="auto" w:fill="E2EFD9" w:themeFill="accent6" w:themeFillTint="33"/>
              <w:spacing w:after="120"/>
              <w:rPr>
                <w:rFonts w:ascii="Source Sans Pro" w:hAnsi="Source Sans Pro"/>
                <w:bCs/>
                <w:iCs/>
              </w:rPr>
            </w:pPr>
            <w:r w:rsidRPr="00292B84">
              <w:rPr>
                <w:rFonts w:ascii="Source Sans Pro" w:hAnsi="Source Sans Pro"/>
                <w:noProof/>
                <w:color w:val="000000" w:themeColor="text1"/>
              </w:rPr>
              <w:drawing>
                <wp:inline distT="0" distB="0" distL="0" distR="0" wp14:anchorId="355C6535" wp14:editId="34A37760">
                  <wp:extent cx="5553075" cy="631190"/>
                  <wp:effectExtent l="0" t="0" r="9525" b="0"/>
                  <wp:docPr id="1237735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41844" name=""/>
                          <pic:cNvPicPr/>
                        </pic:nvPicPr>
                        <pic:blipFill>
                          <a:blip r:embed="rId11"/>
                          <a:stretch>
                            <a:fillRect/>
                          </a:stretch>
                        </pic:blipFill>
                        <pic:spPr>
                          <a:xfrm>
                            <a:off x="0" y="0"/>
                            <a:ext cx="5553075" cy="631190"/>
                          </a:xfrm>
                          <a:prstGeom prst="rect">
                            <a:avLst/>
                          </a:prstGeom>
                        </pic:spPr>
                      </pic:pic>
                    </a:graphicData>
                  </a:graphic>
                </wp:inline>
              </w:drawing>
            </w:r>
          </w:p>
          <w:p w14:paraId="43670DAB" w14:textId="186E6B19" w:rsidR="00C776E2" w:rsidRPr="00292B84" w:rsidRDefault="00C776E2" w:rsidP="00DC5DA9">
            <w:pPr>
              <w:pStyle w:val="Bullet-list"/>
              <w:numPr>
                <w:ilvl w:val="0"/>
                <w:numId w:val="0"/>
              </w:numPr>
              <w:shd w:val="clear" w:color="auto" w:fill="E2EFD9" w:themeFill="accent6" w:themeFillTint="33"/>
              <w:spacing w:after="0"/>
              <w:rPr>
                <w:rFonts w:ascii="Source Sans Pro" w:hAnsi="Source Sans Pro"/>
                <w:bCs/>
                <w:i/>
              </w:rPr>
            </w:pPr>
            <w:r w:rsidRPr="00292B84">
              <w:rPr>
                <w:rFonts w:ascii="Source Sans Pro" w:hAnsi="Source Sans Pro"/>
                <w:bCs/>
                <w:i/>
              </w:rPr>
              <w:t xml:space="preserve">While the </w:t>
            </w:r>
            <w:r w:rsidR="002609B6">
              <w:rPr>
                <w:rFonts w:ascii="Source Sans Pro" w:hAnsi="Source Sans Pro"/>
                <w:bCs/>
                <w:i/>
              </w:rPr>
              <w:t>C</w:t>
            </w:r>
            <w:r w:rsidRPr="00292B84">
              <w:rPr>
                <w:rFonts w:ascii="Source Sans Pro" w:hAnsi="Source Sans Pro"/>
                <w:bCs/>
                <w:i/>
              </w:rPr>
              <w:t xml:space="preserve">RAS template includes principles in the Regulatory Standards Act and will provide input </w:t>
            </w:r>
            <w:r w:rsidR="00A90ECD" w:rsidRPr="00292B84">
              <w:rPr>
                <w:rFonts w:ascii="Source Sans Pro" w:hAnsi="Source Sans Pro"/>
                <w:bCs/>
                <w:i/>
              </w:rPr>
              <w:t xml:space="preserve">to </w:t>
            </w:r>
            <w:r w:rsidRPr="00292B84">
              <w:rPr>
                <w:rFonts w:ascii="Source Sans Pro" w:hAnsi="Source Sans Pro"/>
                <w:bCs/>
                <w:i/>
              </w:rPr>
              <w:t xml:space="preserve">the Consistency Accountability Statement (CAS), </w:t>
            </w:r>
            <w:r w:rsidR="004A7BD9" w:rsidRPr="00292B84">
              <w:rPr>
                <w:rFonts w:ascii="Source Sans Pro" w:hAnsi="Source Sans Pro"/>
                <w:bCs/>
                <w:i/>
              </w:rPr>
              <w:t xml:space="preserve">it is </w:t>
            </w:r>
            <w:r w:rsidR="00945A87" w:rsidRPr="00292B84">
              <w:rPr>
                <w:rFonts w:ascii="Source Sans Pro" w:hAnsi="Source Sans Pro"/>
                <w:bCs/>
                <w:i/>
              </w:rPr>
              <w:t xml:space="preserve">consistent with </w:t>
            </w:r>
            <w:r w:rsidR="003F5A3F" w:rsidRPr="00292B84">
              <w:rPr>
                <w:rFonts w:ascii="Source Sans Pro" w:hAnsi="Source Sans Pro"/>
                <w:bCs/>
                <w:i/>
              </w:rPr>
              <w:t xml:space="preserve">the </w:t>
            </w:r>
            <w:r w:rsidR="00F56B9F" w:rsidRPr="00292B84">
              <w:rPr>
                <w:rFonts w:ascii="Source Sans Pro" w:hAnsi="Source Sans Pro"/>
                <w:bCs/>
                <w:i/>
              </w:rPr>
              <w:t>current</w:t>
            </w:r>
            <w:r w:rsidRPr="00292B84">
              <w:rPr>
                <w:rFonts w:ascii="Source Sans Pro" w:hAnsi="Source Sans Pro"/>
                <w:bCs/>
                <w:i/>
              </w:rPr>
              <w:t xml:space="preserve"> impact analysis framework. The prompts in the template are intended to be used as a guide - some will be more applicable than others depending on the nature of the proposal.</w:t>
            </w:r>
          </w:p>
          <w:p w14:paraId="0B1A8E1B" w14:textId="77777777" w:rsidR="00C776E2" w:rsidRPr="00292B84" w:rsidRDefault="00C776E2" w:rsidP="00DC5DA9">
            <w:pPr>
              <w:pStyle w:val="Bullet-list"/>
              <w:numPr>
                <w:ilvl w:val="0"/>
                <w:numId w:val="0"/>
              </w:numPr>
              <w:shd w:val="clear" w:color="auto" w:fill="E2EFD9" w:themeFill="accent6" w:themeFillTint="33"/>
              <w:spacing w:after="0"/>
              <w:rPr>
                <w:rFonts w:ascii="Source Sans Pro" w:hAnsi="Source Sans Pro"/>
                <w:bCs/>
                <w:i/>
              </w:rPr>
            </w:pPr>
          </w:p>
          <w:p w14:paraId="49DC1E5A" w14:textId="168E4105" w:rsidR="008312AC" w:rsidRPr="00292B84" w:rsidRDefault="5AB59B95" w:rsidP="00DC5DA9">
            <w:pPr>
              <w:pStyle w:val="Bullet-list"/>
              <w:numPr>
                <w:ilvl w:val="0"/>
                <w:numId w:val="0"/>
              </w:numPr>
              <w:shd w:val="clear" w:color="auto" w:fill="E2EFD9" w:themeFill="accent6" w:themeFillTint="33"/>
              <w:spacing w:after="0"/>
              <w:rPr>
                <w:rFonts w:ascii="Source Sans Pro" w:hAnsi="Source Sans Pro"/>
                <w:bCs/>
                <w:i/>
              </w:rPr>
            </w:pPr>
            <w:r w:rsidRPr="00292B84">
              <w:rPr>
                <w:rFonts w:ascii="Source Sans Pro" w:hAnsi="Source Sans Pro"/>
                <w:b/>
                <w:bCs/>
                <w:i/>
                <w:iCs/>
              </w:rPr>
              <w:t>There</w:t>
            </w:r>
            <w:r w:rsidR="009F0E98" w:rsidRPr="00292B84">
              <w:rPr>
                <w:rFonts w:ascii="Source Sans Pro" w:hAnsi="Source Sans Pro"/>
                <w:b/>
                <w:i/>
              </w:rPr>
              <w:t xml:space="preserve"> is a </w:t>
            </w:r>
            <w:r w:rsidRPr="00292B84">
              <w:rPr>
                <w:rFonts w:ascii="Source Sans Pro" w:hAnsi="Source Sans Pro"/>
                <w:b/>
                <w:bCs/>
                <w:i/>
                <w:iCs/>
              </w:rPr>
              <w:t xml:space="preserve">strong expectation that this </w:t>
            </w:r>
            <w:r w:rsidR="009F0E98" w:rsidRPr="00292B84">
              <w:rPr>
                <w:rFonts w:ascii="Source Sans Pro" w:hAnsi="Source Sans Pro"/>
                <w:b/>
                <w:i/>
              </w:rPr>
              <w:t>summary document</w:t>
            </w:r>
            <w:r w:rsidR="00503550" w:rsidRPr="00292B84">
              <w:rPr>
                <w:rFonts w:ascii="Source Sans Pro" w:hAnsi="Source Sans Pro"/>
                <w:b/>
                <w:i/>
              </w:rPr>
              <w:t xml:space="preserve"> </w:t>
            </w:r>
            <w:r w:rsidRPr="00292B84">
              <w:rPr>
                <w:rFonts w:ascii="Source Sans Pro" w:hAnsi="Source Sans Pro"/>
                <w:b/>
                <w:bCs/>
                <w:i/>
                <w:iCs/>
              </w:rPr>
              <w:t>is no longer than</w:t>
            </w:r>
            <w:r w:rsidR="00C01A0D" w:rsidRPr="00292B84">
              <w:rPr>
                <w:rFonts w:ascii="Source Sans Pro" w:hAnsi="Source Sans Pro"/>
                <w:b/>
                <w:i/>
              </w:rPr>
              <w:t xml:space="preserve"> </w:t>
            </w:r>
            <w:r w:rsidR="00BB638D" w:rsidRPr="00292B84">
              <w:rPr>
                <w:rFonts w:ascii="Source Sans Pro" w:hAnsi="Source Sans Pro"/>
                <w:b/>
                <w:i/>
              </w:rPr>
              <w:t>twenty</w:t>
            </w:r>
            <w:r w:rsidR="00C01A0D" w:rsidRPr="00292B84">
              <w:rPr>
                <w:rFonts w:ascii="Source Sans Pro" w:hAnsi="Source Sans Pro"/>
                <w:b/>
                <w:i/>
              </w:rPr>
              <w:t xml:space="preserve"> </w:t>
            </w:r>
            <w:r w:rsidRPr="00292B84">
              <w:rPr>
                <w:rFonts w:ascii="Source Sans Pro" w:hAnsi="Source Sans Pro"/>
                <w:b/>
                <w:bCs/>
                <w:i/>
                <w:iCs/>
              </w:rPr>
              <w:t>pages</w:t>
            </w:r>
            <w:r w:rsidR="004844FF" w:rsidRPr="00292B84">
              <w:rPr>
                <w:rFonts w:ascii="Source Sans Pro" w:hAnsi="Source Sans Pro"/>
                <w:b/>
                <w:bCs/>
                <w:i/>
                <w:iCs/>
              </w:rPr>
              <w:t>.</w:t>
            </w:r>
            <w:r w:rsidRPr="00292B84">
              <w:rPr>
                <w:rFonts w:ascii="Source Sans Pro" w:hAnsi="Source Sans Pro"/>
                <w:b/>
                <w:bCs/>
                <w:i/>
                <w:iCs/>
              </w:rPr>
              <w:t xml:space="preserve"> </w:t>
            </w:r>
            <w:r w:rsidR="00AC3B96" w:rsidRPr="00292B84">
              <w:rPr>
                <w:rFonts w:ascii="Source Sans Pro" w:hAnsi="Source Sans Pro"/>
                <w:i/>
                <w:lang w:val="en-NZ"/>
              </w:rPr>
              <w:t xml:space="preserve">Where a proposal </w:t>
            </w:r>
            <w:r w:rsidR="00687974" w:rsidRPr="00292B84">
              <w:rPr>
                <w:rFonts w:ascii="Source Sans Pro" w:hAnsi="Source Sans Pro"/>
                <w:i/>
                <w:lang w:val="en-NZ"/>
              </w:rPr>
              <w:t xml:space="preserve">is </w:t>
            </w:r>
            <w:r w:rsidR="0020637D" w:rsidRPr="00292B84">
              <w:rPr>
                <w:rFonts w:ascii="Source Sans Pro" w:hAnsi="Source Sans Pro"/>
                <w:i/>
                <w:lang w:val="en-NZ"/>
              </w:rPr>
              <w:t>complex or multi-part</w:t>
            </w:r>
            <w:r w:rsidR="0086642A" w:rsidRPr="00292B84">
              <w:rPr>
                <w:rFonts w:ascii="Source Sans Pro" w:hAnsi="Source Sans Pro"/>
                <w:i/>
                <w:lang w:val="en-NZ"/>
              </w:rPr>
              <w:t>,</w:t>
            </w:r>
            <w:r w:rsidR="0020637D" w:rsidRPr="00292B84">
              <w:rPr>
                <w:rFonts w:ascii="Source Sans Pro" w:hAnsi="Source Sans Pro"/>
                <w:i/>
                <w:lang w:val="en-NZ"/>
              </w:rPr>
              <w:t xml:space="preserve"> </w:t>
            </w:r>
            <w:r w:rsidR="00F008AF">
              <w:rPr>
                <w:rFonts w:ascii="Source Sans Pro" w:hAnsi="Source Sans Pro"/>
                <w:i/>
                <w:lang w:val="en-NZ"/>
              </w:rPr>
              <w:t xml:space="preserve">please review </w:t>
            </w:r>
            <w:r w:rsidR="000231C0">
              <w:rPr>
                <w:rFonts w:ascii="Source Sans Pro" w:hAnsi="Source Sans Pro"/>
                <w:i/>
                <w:lang w:val="en-NZ"/>
              </w:rPr>
              <w:t>the Ministry for Regulation impact analysis</w:t>
            </w:r>
            <w:r w:rsidR="00495D6B" w:rsidRPr="00292B84">
              <w:rPr>
                <w:rFonts w:ascii="Source Sans Pro" w:hAnsi="Source Sans Pro"/>
                <w:i/>
                <w:lang w:val="en-NZ"/>
              </w:rPr>
              <w:t xml:space="preserve"> guidance on how best to approach the </w:t>
            </w:r>
            <w:r w:rsidR="003A799D" w:rsidRPr="00292B84">
              <w:rPr>
                <w:rFonts w:ascii="Source Sans Pro" w:hAnsi="Source Sans Pro"/>
                <w:i/>
                <w:lang w:val="en-NZ"/>
              </w:rPr>
              <w:t>structure</w:t>
            </w:r>
            <w:r w:rsidR="00495D6B" w:rsidRPr="00292B84">
              <w:rPr>
                <w:rFonts w:ascii="Source Sans Pro" w:hAnsi="Source Sans Pro"/>
                <w:i/>
                <w:lang w:val="en-NZ"/>
              </w:rPr>
              <w:t xml:space="preserve"> of </w:t>
            </w:r>
            <w:r w:rsidR="003A799D" w:rsidRPr="00292B84">
              <w:rPr>
                <w:rFonts w:ascii="Source Sans Pro" w:hAnsi="Source Sans Pro"/>
                <w:i/>
                <w:lang w:val="en-NZ"/>
              </w:rPr>
              <w:t xml:space="preserve">the </w:t>
            </w:r>
            <w:r w:rsidR="00495D6B" w:rsidRPr="00292B84">
              <w:rPr>
                <w:rFonts w:ascii="Source Sans Pro" w:hAnsi="Source Sans Pro"/>
                <w:i/>
                <w:lang w:val="en-NZ"/>
              </w:rPr>
              <w:t>analysis</w:t>
            </w:r>
            <w:r w:rsidR="0020637D" w:rsidRPr="00292B84" w:rsidDel="00A97B19">
              <w:rPr>
                <w:rFonts w:ascii="Source Sans Pro" w:hAnsi="Source Sans Pro"/>
                <w:i/>
                <w:lang w:val="en-NZ"/>
              </w:rPr>
              <w:t xml:space="preserve">. </w:t>
            </w:r>
          </w:p>
          <w:p w14:paraId="32DF9094" w14:textId="77777777" w:rsidR="00C510A9" w:rsidRPr="00292B84" w:rsidRDefault="00C510A9" w:rsidP="00DC5DA9">
            <w:pPr>
              <w:pStyle w:val="Bullet-list"/>
              <w:numPr>
                <w:ilvl w:val="0"/>
                <w:numId w:val="0"/>
              </w:numPr>
              <w:shd w:val="clear" w:color="auto" w:fill="E2EFD9" w:themeFill="accent6" w:themeFillTint="33"/>
              <w:spacing w:after="0"/>
              <w:rPr>
                <w:rFonts w:ascii="Source Sans Pro" w:hAnsi="Source Sans Pro"/>
                <w:iCs/>
                <w:szCs w:val="22"/>
              </w:rPr>
            </w:pPr>
          </w:p>
          <w:p w14:paraId="7E173341" w14:textId="744C996F" w:rsidR="002B61A1" w:rsidRPr="00292B84" w:rsidRDefault="00841B31">
            <w:pPr>
              <w:pStyle w:val="Bullet-list"/>
              <w:numPr>
                <w:ilvl w:val="0"/>
                <w:numId w:val="0"/>
              </w:numPr>
              <w:shd w:val="clear" w:color="auto" w:fill="E2EFD9" w:themeFill="accent6" w:themeFillTint="33"/>
              <w:spacing w:after="120"/>
              <w:rPr>
                <w:rFonts w:ascii="Source Sans Pro" w:hAnsi="Source Sans Pro"/>
                <w:b/>
                <w:i/>
              </w:rPr>
            </w:pPr>
            <w:r>
              <w:rPr>
                <w:rFonts w:ascii="Source Sans Pro" w:hAnsi="Source Sans Pro"/>
                <w:b/>
                <w:i/>
              </w:rPr>
              <w:t xml:space="preserve">Confirm Quality Assurance arrangements on RIA Online </w:t>
            </w:r>
          </w:p>
          <w:p w14:paraId="7917F399" w14:textId="6A6119E1" w:rsidR="0002096E" w:rsidRPr="00292B84" w:rsidRDefault="00841B31" w:rsidP="000B0CC6">
            <w:pPr>
              <w:rPr>
                <w:rFonts w:ascii="Source Sans Pro" w:hAnsi="Source Sans Pro"/>
                <w:i/>
                <w:iCs/>
              </w:rPr>
            </w:pPr>
            <w:r>
              <w:rPr>
                <w:rFonts w:ascii="Source Sans Pro" w:hAnsi="Source Sans Pro"/>
                <w:i/>
                <w:iCs/>
              </w:rPr>
              <w:t>Ensure that your proposal has an entry on RIA Online, and complete the “Process Confirmation” tab to confirm QA arrangements and template. This also generates your</w:t>
            </w:r>
            <w:r w:rsidRPr="00292B84">
              <w:rPr>
                <w:rFonts w:ascii="Source Sans Pro" w:hAnsi="Source Sans Pro"/>
                <w:i/>
                <w:iCs/>
              </w:rPr>
              <w:t xml:space="preserve"> </w:t>
            </w:r>
            <w:r w:rsidR="00BF7E58" w:rsidRPr="00292B84">
              <w:rPr>
                <w:rFonts w:ascii="Source Sans Pro" w:hAnsi="Source Sans Pro"/>
                <w:i/>
                <w:iCs/>
              </w:rPr>
              <w:t xml:space="preserve">Ministry for Regulation </w:t>
            </w:r>
            <w:r w:rsidR="009C0153">
              <w:rPr>
                <w:rFonts w:ascii="Source Sans Pro" w:hAnsi="Source Sans Pro"/>
                <w:i/>
                <w:iCs/>
              </w:rPr>
              <w:t>identification</w:t>
            </w:r>
            <w:r w:rsidR="009C0153" w:rsidRPr="00292B84">
              <w:rPr>
                <w:rFonts w:ascii="Source Sans Pro" w:hAnsi="Source Sans Pro"/>
                <w:i/>
                <w:iCs/>
              </w:rPr>
              <w:t xml:space="preserve"> </w:t>
            </w:r>
            <w:r w:rsidR="00BF7E58" w:rsidRPr="00292B84">
              <w:rPr>
                <w:rFonts w:ascii="Source Sans Pro" w:hAnsi="Source Sans Pro"/>
                <w:i/>
                <w:iCs/>
              </w:rPr>
              <w:t>number</w:t>
            </w:r>
            <w:r>
              <w:rPr>
                <w:rFonts w:ascii="Source Sans Pro" w:hAnsi="Source Sans Pro"/>
                <w:i/>
                <w:iCs/>
              </w:rPr>
              <w:t xml:space="preserve"> for your Cabinet paper</w:t>
            </w:r>
            <w:r w:rsidR="00BF7E58" w:rsidRPr="00292B84">
              <w:rPr>
                <w:rFonts w:ascii="Source Sans Pro" w:hAnsi="Source Sans Pro"/>
                <w:i/>
                <w:iCs/>
              </w:rPr>
              <w:t xml:space="preserve">. </w:t>
            </w:r>
            <w:r w:rsidR="00C528B5" w:rsidRPr="00292B84">
              <w:rPr>
                <w:rFonts w:ascii="Source Sans Pro" w:hAnsi="Source Sans Pro"/>
                <w:i/>
                <w:iCs/>
              </w:rPr>
              <w:t>I</w:t>
            </w:r>
            <w:r w:rsidR="008A417F" w:rsidRPr="00292B84">
              <w:rPr>
                <w:rFonts w:ascii="Source Sans Pro" w:hAnsi="Source Sans Pro"/>
                <w:i/>
                <w:iCs/>
              </w:rPr>
              <w:t xml:space="preserve">nstructions are available </w:t>
            </w:r>
            <w:r w:rsidR="00EC7D95" w:rsidRPr="00292B84">
              <w:rPr>
                <w:rFonts w:ascii="Source Sans Pro" w:hAnsi="Source Sans Pro"/>
                <w:i/>
                <w:iCs/>
              </w:rPr>
              <w:t>on the Ministry for Regulation</w:t>
            </w:r>
            <w:r w:rsidR="001724CC" w:rsidRPr="00292B84">
              <w:rPr>
                <w:rFonts w:ascii="Source Sans Pro" w:hAnsi="Source Sans Pro"/>
                <w:i/>
                <w:iCs/>
              </w:rPr>
              <w:t>’</w:t>
            </w:r>
            <w:r w:rsidR="00EC7D95" w:rsidRPr="00292B84">
              <w:rPr>
                <w:rFonts w:ascii="Source Sans Pro" w:hAnsi="Source Sans Pro"/>
                <w:i/>
                <w:iCs/>
              </w:rPr>
              <w:t>s website</w:t>
            </w:r>
            <w:r w:rsidR="003E6956" w:rsidRPr="00292B84">
              <w:rPr>
                <w:rFonts w:ascii="Source Sans Pro" w:hAnsi="Source Sans Pro"/>
                <w:i/>
                <w:iCs/>
              </w:rPr>
              <w:t xml:space="preserve"> – </w:t>
            </w:r>
            <w:hyperlink r:id="rId12" w:history="1">
              <w:r w:rsidR="0002096E" w:rsidRPr="00292B84">
                <w:rPr>
                  <w:rStyle w:val="Hyperlink"/>
                  <w:rFonts w:ascii="Source Sans Pro" w:hAnsi="Source Sans Pro"/>
                  <w:i/>
                  <w:iCs/>
                </w:rPr>
                <w:t>Meeting regulatory impact requirements</w:t>
              </w:r>
            </w:hyperlink>
            <w:r w:rsidR="009B3918" w:rsidRPr="00292B84">
              <w:rPr>
                <w:rFonts w:ascii="Source Sans Pro" w:hAnsi="Source Sans Pro"/>
                <w:i/>
                <w:iCs/>
              </w:rPr>
              <w:t>.</w:t>
            </w:r>
          </w:p>
          <w:p w14:paraId="456B7F04" w14:textId="77777777" w:rsidR="0044753D" w:rsidRDefault="0044753D" w:rsidP="000B0CC6">
            <w:pPr>
              <w:pStyle w:val="Bullet-list"/>
              <w:numPr>
                <w:ilvl w:val="0"/>
                <w:numId w:val="0"/>
              </w:numPr>
              <w:shd w:val="clear" w:color="auto" w:fill="E2EFD9" w:themeFill="accent6" w:themeFillTint="33"/>
              <w:spacing w:after="120"/>
              <w:rPr>
                <w:rFonts w:ascii="Source Sans Pro" w:hAnsi="Source Sans Pro"/>
                <w:i/>
                <w:lang w:val="en-NZ"/>
              </w:rPr>
            </w:pPr>
          </w:p>
          <w:p w14:paraId="1127D6C0" w14:textId="74B09915" w:rsidR="004C76A8" w:rsidRPr="004C76A8" w:rsidRDefault="004C76A8" w:rsidP="004C76A8">
            <w:pPr>
              <w:pStyle w:val="Bullet-list"/>
              <w:shd w:val="clear" w:color="auto" w:fill="E2EFD9" w:themeFill="accent6" w:themeFillTint="33"/>
              <w:spacing w:after="120"/>
              <w:ind w:left="0"/>
              <w:rPr>
                <w:rFonts w:ascii="Source Sans Pro" w:hAnsi="Source Sans Pro"/>
                <w:i/>
                <w:lang w:val="en-GB"/>
              </w:rPr>
            </w:pPr>
            <w:r>
              <w:rPr>
                <w:rFonts w:ascii="Source Sans Pro" w:hAnsi="Source Sans Pro"/>
                <w:i/>
                <w:lang w:val="en-GB"/>
              </w:rPr>
              <w:t>See below for cost recovery guidance</w:t>
            </w:r>
            <w:r w:rsidRPr="004C76A8">
              <w:rPr>
                <w:rFonts w:ascii="Source Sans Pro" w:hAnsi="Source Sans Pro"/>
                <w:i/>
                <w:lang w:val="en-GB"/>
              </w:rPr>
              <w:t>:</w:t>
            </w:r>
          </w:p>
          <w:p w14:paraId="40664F21" w14:textId="77777777" w:rsidR="004C76A8" w:rsidRPr="004C76A8" w:rsidRDefault="004C76A8" w:rsidP="007B0458">
            <w:pPr>
              <w:pStyle w:val="Bullet-list"/>
            </w:pPr>
            <w:r w:rsidRPr="007B0458">
              <w:rPr>
                <w:rFonts w:ascii="Source Sans Pro" w:hAnsi="Source Sans Pro"/>
                <w:i/>
                <w:lang w:val="en-GB"/>
              </w:rPr>
              <w:t xml:space="preserve">Treasury Guide: </w:t>
            </w:r>
            <w:hyperlink r:id="rId13" w:history="1">
              <w:r w:rsidRPr="004C76A8">
                <w:rPr>
                  <w:rStyle w:val="Hyperlink"/>
                  <w:rFonts w:ascii="Source Sans Pro" w:hAnsi="Source Sans Pro"/>
                  <w:i/>
                  <w:lang w:val="en-GB"/>
                </w:rPr>
                <w:t xml:space="preserve">Guidelines for Setting Charges in the Public Sector </w:t>
              </w:r>
            </w:hyperlink>
          </w:p>
          <w:p w14:paraId="2FF6747D" w14:textId="77777777" w:rsidR="004C76A8" w:rsidRPr="004C76A8" w:rsidRDefault="004C76A8" w:rsidP="007B0458">
            <w:pPr>
              <w:pStyle w:val="Bullet-list"/>
            </w:pPr>
            <w:r w:rsidRPr="007B0458">
              <w:rPr>
                <w:rFonts w:ascii="Source Sans Pro" w:hAnsi="Source Sans Pro"/>
                <w:i/>
                <w:lang w:val="en-GB"/>
              </w:rPr>
              <w:t>Controller and Auditor-General Guide:</w:t>
            </w:r>
            <w:r w:rsidRPr="004C76A8">
              <w:t xml:space="preserve"> </w:t>
            </w:r>
            <w:hyperlink r:id="rId14" w:history="1">
              <w:r w:rsidRPr="004C76A8">
                <w:rPr>
                  <w:rStyle w:val="Hyperlink"/>
                  <w:rFonts w:ascii="Source Sans Pro" w:hAnsi="Source Sans Pro"/>
                  <w:i/>
                  <w:lang w:val="en-GB"/>
                </w:rPr>
                <w:t>Charging fees for public sector goods and services</w:t>
              </w:r>
            </w:hyperlink>
            <w:r w:rsidRPr="004C76A8">
              <w:t xml:space="preserve">  </w:t>
            </w:r>
          </w:p>
          <w:p w14:paraId="5B39ADC6" w14:textId="3F13CD5D" w:rsidR="004C76A8" w:rsidRPr="00292B84" w:rsidRDefault="004C76A8" w:rsidP="000B0CC6">
            <w:pPr>
              <w:pStyle w:val="Bullet-list"/>
              <w:numPr>
                <w:ilvl w:val="0"/>
                <w:numId w:val="0"/>
              </w:numPr>
              <w:shd w:val="clear" w:color="auto" w:fill="E2EFD9" w:themeFill="accent6" w:themeFillTint="33"/>
              <w:spacing w:after="120"/>
              <w:rPr>
                <w:rFonts w:ascii="Source Sans Pro" w:hAnsi="Source Sans Pro"/>
                <w:i/>
                <w:lang w:val="en-NZ"/>
              </w:rPr>
            </w:pPr>
          </w:p>
        </w:tc>
      </w:tr>
    </w:tbl>
    <w:p w14:paraId="171D8BCC" w14:textId="77777777" w:rsidR="0044753D" w:rsidRDefault="0044753D">
      <w:pPr>
        <w:rPr>
          <w:color w:val="000000" w:themeColor="text1"/>
        </w:rPr>
      </w:pPr>
    </w:p>
    <w:p w14:paraId="148256C8" w14:textId="77777777" w:rsidR="0044753D" w:rsidRDefault="0044753D">
      <w:pPr>
        <w:rPr>
          <w:color w:val="000000" w:themeColor="text1"/>
        </w:rPr>
      </w:pPr>
    </w:p>
    <w:p w14:paraId="0CC61F6E" w14:textId="6388DC8F" w:rsidR="00F66092" w:rsidRDefault="00B2038B" w:rsidP="00165BCE">
      <w:r>
        <w:br w:type="page"/>
      </w:r>
    </w:p>
    <w:p w14:paraId="52F62D9A" w14:textId="6AD53336" w:rsidR="0025131C" w:rsidRDefault="0025131C" w:rsidP="0025131C">
      <w:pPr>
        <w:jc w:val="right"/>
        <w:rPr>
          <w:b/>
          <w:sz w:val="42"/>
          <w:szCs w:val="42"/>
          <w:lang w:val="en-US"/>
        </w:rPr>
      </w:pPr>
      <w:r>
        <w:rPr>
          <w:b/>
          <w:noProof/>
          <w:sz w:val="42"/>
          <w:szCs w:val="42"/>
          <w:lang w:val="en-US"/>
        </w:rPr>
        <w:lastRenderedPageBreak/>
        <w:drawing>
          <wp:inline distT="0" distB="0" distL="0" distR="0" wp14:anchorId="44C83D95" wp14:editId="19BFB6D1">
            <wp:extent cx="1609725" cy="804545"/>
            <wp:effectExtent l="0" t="0" r="9525" b="0"/>
            <wp:docPr id="587128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804545"/>
                    </a:xfrm>
                    <a:prstGeom prst="rect">
                      <a:avLst/>
                    </a:prstGeom>
                    <a:noFill/>
                  </pic:spPr>
                </pic:pic>
              </a:graphicData>
            </a:graphic>
          </wp:inline>
        </w:drawing>
      </w:r>
    </w:p>
    <w:p w14:paraId="3738AD1D" w14:textId="24A12C91" w:rsidR="00E97643" w:rsidRPr="00723295" w:rsidRDefault="00387C4C" w:rsidP="00072352">
      <w:pPr>
        <w:rPr>
          <w:rFonts w:ascii="Source Sans Pro" w:eastAsiaTheme="majorEastAsia" w:hAnsi="Source Sans Pro" w:cstheme="majorBidi"/>
          <w:b/>
          <w:bCs/>
          <w:sz w:val="44"/>
          <w:szCs w:val="44"/>
          <w:lang w:val="en-US"/>
        </w:rPr>
      </w:pPr>
      <w:r>
        <w:rPr>
          <w:b/>
          <w:sz w:val="42"/>
          <w:szCs w:val="42"/>
          <w:lang w:val="en-US"/>
        </w:rPr>
        <w:t xml:space="preserve">Cost Recovery </w:t>
      </w:r>
      <w:r w:rsidR="00044342" w:rsidRPr="00723295">
        <w:rPr>
          <w:rFonts w:ascii="Source Sans Pro" w:eastAsiaTheme="majorEastAsia" w:hAnsi="Source Sans Pro" w:cstheme="majorBidi"/>
          <w:b/>
          <w:bCs/>
          <w:sz w:val="44"/>
          <w:szCs w:val="44"/>
          <w:lang w:val="en-US"/>
        </w:rPr>
        <w:t xml:space="preserve">Analysis </w:t>
      </w:r>
      <w:r w:rsidR="003B1E6E" w:rsidRPr="00723295">
        <w:rPr>
          <w:rFonts w:ascii="Source Sans Pro" w:eastAsiaTheme="majorEastAsia" w:hAnsi="Source Sans Pro" w:cstheme="majorBidi"/>
          <w:b/>
          <w:bCs/>
          <w:sz w:val="44"/>
          <w:szCs w:val="44"/>
          <w:lang w:val="en-US"/>
        </w:rPr>
        <w:t>Summary</w:t>
      </w:r>
      <w:r w:rsidR="00E97643" w:rsidRPr="00723295">
        <w:rPr>
          <w:rFonts w:ascii="Source Sans Pro" w:eastAsiaTheme="majorEastAsia" w:hAnsi="Source Sans Pro" w:cstheme="majorBidi"/>
          <w:b/>
          <w:bCs/>
          <w:sz w:val="44"/>
          <w:szCs w:val="44"/>
          <w:lang w:val="en-US"/>
        </w:rPr>
        <w:t xml:space="preserve">: </w:t>
      </w:r>
      <w:r w:rsidR="00E97643" w:rsidRPr="00723295">
        <w:rPr>
          <w:rFonts w:ascii="Source Sans Pro" w:eastAsiaTheme="majorEastAsia" w:hAnsi="Source Sans Pro" w:cstheme="majorBidi"/>
          <w:b/>
          <w:bCs/>
          <w:sz w:val="44"/>
          <w:szCs w:val="44"/>
          <w:highlight w:val="yellow"/>
          <w:lang w:val="en-US"/>
        </w:rPr>
        <w:t>[Proposal title]</w:t>
      </w: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00" w:firstRow="0" w:lastRow="0" w:firstColumn="0" w:lastColumn="0" w:noHBand="1" w:noVBand="1"/>
      </w:tblPr>
      <w:tblGrid>
        <w:gridCol w:w="2552"/>
        <w:gridCol w:w="1702"/>
        <w:gridCol w:w="4762"/>
      </w:tblGrid>
      <w:tr w:rsidR="00D04F2E" w:rsidRPr="00292B84" w14:paraId="1F0CC819" w14:textId="77777777" w:rsidTr="008226D5">
        <w:trPr>
          <w:trHeight w:val="414"/>
        </w:trPr>
        <w:tc>
          <w:tcPr>
            <w:tcW w:w="1415" w:type="pct"/>
            <w:shd w:val="clear" w:color="auto" w:fill="E1EBF7"/>
            <w:hideMark/>
          </w:tcPr>
          <w:p w14:paraId="0D76C789" w14:textId="557ABD30" w:rsidR="00182D88" w:rsidRPr="00292B84" w:rsidRDefault="00182D88" w:rsidP="002B09BE">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Decision sought</w:t>
            </w:r>
          </w:p>
        </w:tc>
        <w:tc>
          <w:tcPr>
            <w:tcW w:w="3585" w:type="pct"/>
            <w:gridSpan w:val="2"/>
            <w:hideMark/>
          </w:tcPr>
          <w:p w14:paraId="20D1789C" w14:textId="6676180D" w:rsidR="00182D88" w:rsidRPr="00292B84" w:rsidRDefault="00F24DF6" w:rsidP="002B09BE">
            <w:pPr>
              <w:spacing w:before="60" w:after="60"/>
              <w:rPr>
                <w:rFonts w:ascii="Source Sans Pro" w:hAnsi="Source Sans Pro" w:cs="Arial"/>
                <w:iCs/>
                <w:color w:val="000000" w:themeColor="text1"/>
              </w:rPr>
            </w:pPr>
            <w:r w:rsidRPr="00292B84">
              <w:rPr>
                <w:rFonts w:ascii="Source Sans Pro" w:hAnsi="Source Sans Pro" w:cs="Arial"/>
                <w:iCs/>
                <w:color w:val="000000" w:themeColor="text1"/>
                <w:highlight w:val="yellow"/>
              </w:rPr>
              <w:t>[</w:t>
            </w:r>
            <w:r w:rsidR="002276A9" w:rsidRPr="00292B84">
              <w:rPr>
                <w:rFonts w:ascii="Source Sans Pro" w:hAnsi="Source Sans Pro" w:cs="Arial"/>
                <w:i/>
                <w:color w:val="000000" w:themeColor="text1"/>
                <w:highlight w:val="yellow"/>
              </w:rPr>
              <w:t>e.g.</w:t>
            </w:r>
            <w:r w:rsidR="00182D88" w:rsidRPr="00292B84">
              <w:rPr>
                <w:rFonts w:ascii="Source Sans Pro" w:hAnsi="Source Sans Pro" w:cs="Arial"/>
                <w:i/>
                <w:color w:val="000000" w:themeColor="text1"/>
                <w:highlight w:val="yellow"/>
              </w:rPr>
              <w:t xml:space="preserve">, </w:t>
            </w:r>
            <w:r w:rsidR="00AD4197" w:rsidRPr="00292B84">
              <w:rPr>
                <w:rFonts w:ascii="Source Sans Pro" w:hAnsi="Source Sans Pro" w:cs="Arial"/>
                <w:i/>
                <w:color w:val="000000" w:themeColor="text1"/>
                <w:highlight w:val="yellow"/>
              </w:rPr>
              <w:t>in principle Cabinet decisions, final Cabinet policy decisions</w:t>
            </w:r>
            <w:r w:rsidR="0056730E" w:rsidRPr="00292B84">
              <w:rPr>
                <w:rFonts w:ascii="Source Sans Pro" w:hAnsi="Source Sans Pro" w:cs="Arial"/>
                <w:i/>
                <w:color w:val="000000" w:themeColor="text1"/>
                <w:highlight w:val="yellow"/>
              </w:rPr>
              <w:t xml:space="preserve"> to introduce</w:t>
            </w:r>
            <w:r w:rsidR="00FF080B" w:rsidRPr="00292B84">
              <w:rPr>
                <w:rFonts w:ascii="Source Sans Pro" w:hAnsi="Source Sans Pro" w:cs="Arial"/>
                <w:i/>
                <w:color w:val="000000" w:themeColor="text1"/>
                <w:highlight w:val="yellow"/>
              </w:rPr>
              <w:t>/change</w:t>
            </w:r>
            <w:r w:rsidR="0056730E" w:rsidRPr="00292B84">
              <w:rPr>
                <w:rFonts w:ascii="Source Sans Pro" w:hAnsi="Source Sans Pro" w:cs="Arial"/>
                <w:i/>
                <w:color w:val="000000" w:themeColor="text1"/>
                <w:highlight w:val="yellow"/>
              </w:rPr>
              <w:t xml:space="preserve"> regulation on X topic</w:t>
            </w:r>
            <w:r w:rsidR="00AD4197" w:rsidRPr="00292B84">
              <w:rPr>
                <w:rFonts w:ascii="Source Sans Pro" w:hAnsi="Source Sans Pro" w:cs="Arial"/>
                <w:iCs/>
                <w:color w:val="000000" w:themeColor="text1"/>
                <w:highlight w:val="yellow"/>
              </w:rPr>
              <w:t>]</w:t>
            </w:r>
          </w:p>
        </w:tc>
      </w:tr>
      <w:tr w:rsidR="00D04F2E" w:rsidRPr="00292B84" w14:paraId="516D23F9" w14:textId="77777777" w:rsidTr="008226D5">
        <w:trPr>
          <w:trHeight w:val="506"/>
        </w:trPr>
        <w:tc>
          <w:tcPr>
            <w:tcW w:w="1415" w:type="pct"/>
            <w:shd w:val="clear" w:color="auto" w:fill="E1EBF7"/>
            <w:hideMark/>
          </w:tcPr>
          <w:p w14:paraId="48652F3D" w14:textId="60B8C0CA"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Agency responsible</w:t>
            </w:r>
          </w:p>
        </w:tc>
        <w:tc>
          <w:tcPr>
            <w:tcW w:w="3585" w:type="pct"/>
            <w:gridSpan w:val="2"/>
            <w:hideMark/>
          </w:tcPr>
          <w:p w14:paraId="6CD20DED" w14:textId="2025DF47" w:rsidR="004E7E77" w:rsidRPr="00292B84" w:rsidRDefault="00D67FD8" w:rsidP="004E7E77">
            <w:pPr>
              <w:spacing w:before="60" w:after="60"/>
              <w:rPr>
                <w:rFonts w:ascii="Source Sans Pro" w:hAnsi="Source Sans Pro" w:cs="Arial"/>
                <w:i/>
                <w:iCs/>
                <w:color w:val="000000" w:themeColor="text1"/>
              </w:rPr>
            </w:pPr>
            <w:r>
              <w:rPr>
                <w:rFonts w:ascii="Source Sans Pro" w:hAnsi="Source Sans Pro" w:cs="Arial"/>
                <w:i/>
                <w:iCs/>
                <w:color w:val="000000" w:themeColor="text1"/>
              </w:rPr>
              <w:t xml:space="preserve"> </w:t>
            </w:r>
          </w:p>
        </w:tc>
      </w:tr>
      <w:tr w:rsidR="00D04F2E" w:rsidRPr="00292B84" w14:paraId="7B2F1B75" w14:textId="77777777" w:rsidTr="008226D5">
        <w:trPr>
          <w:trHeight w:val="317"/>
        </w:trPr>
        <w:tc>
          <w:tcPr>
            <w:tcW w:w="1415" w:type="pct"/>
            <w:shd w:val="clear" w:color="auto" w:fill="E1EBF7"/>
            <w:hideMark/>
          </w:tcPr>
          <w:p w14:paraId="6309F06E" w14:textId="228BD6A9"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Portfolio Minister(s)</w:t>
            </w:r>
          </w:p>
        </w:tc>
        <w:tc>
          <w:tcPr>
            <w:tcW w:w="3585" w:type="pct"/>
            <w:gridSpan w:val="2"/>
            <w:hideMark/>
          </w:tcPr>
          <w:p w14:paraId="0F599829" w14:textId="62F597AC" w:rsidR="004E7E77" w:rsidRPr="00292B84" w:rsidRDefault="004E7E77" w:rsidP="004E7E77">
            <w:pPr>
              <w:spacing w:before="60" w:after="60"/>
              <w:rPr>
                <w:rFonts w:ascii="Source Sans Pro" w:hAnsi="Source Sans Pro" w:cs="Arial"/>
                <w:i/>
                <w:color w:val="000000" w:themeColor="text1"/>
              </w:rPr>
            </w:pPr>
          </w:p>
        </w:tc>
      </w:tr>
      <w:tr w:rsidR="00D04F2E" w:rsidRPr="00292B84" w14:paraId="5D53E334" w14:textId="77777777" w:rsidTr="008226D5">
        <w:trPr>
          <w:trHeight w:val="202"/>
        </w:trPr>
        <w:tc>
          <w:tcPr>
            <w:tcW w:w="1415" w:type="pct"/>
            <w:shd w:val="clear" w:color="auto" w:fill="E1EBF7"/>
            <w:hideMark/>
          </w:tcPr>
          <w:p w14:paraId="593D4B0B" w14:textId="77DA975C" w:rsidR="004E7E77" w:rsidRPr="00292B84" w:rsidRDefault="004E7E77" w:rsidP="004E7E77">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Date finalised</w:t>
            </w:r>
          </w:p>
        </w:tc>
        <w:tc>
          <w:tcPr>
            <w:tcW w:w="3585" w:type="pct"/>
            <w:gridSpan w:val="2"/>
            <w:hideMark/>
          </w:tcPr>
          <w:p w14:paraId="1F74C26F" w14:textId="3AD7A0A8" w:rsidR="004E7E77" w:rsidRPr="00292B84" w:rsidRDefault="004E7E77" w:rsidP="004E7E77">
            <w:pPr>
              <w:spacing w:before="60" w:after="60"/>
              <w:rPr>
                <w:rFonts w:ascii="Source Sans Pro" w:hAnsi="Source Sans Pro" w:cs="Arial"/>
                <w:i/>
                <w:iCs/>
                <w:color w:val="000000" w:themeColor="text1"/>
              </w:rPr>
            </w:pPr>
          </w:p>
        </w:tc>
      </w:tr>
      <w:tr w:rsidR="00D04F2E" w:rsidRPr="00292B84" w14:paraId="423CE607" w14:textId="77777777" w:rsidTr="008226D5">
        <w:trPr>
          <w:trHeight w:val="195"/>
        </w:trPr>
        <w:tc>
          <w:tcPr>
            <w:tcW w:w="2359" w:type="pct"/>
            <w:gridSpan w:val="2"/>
            <w:shd w:val="clear" w:color="auto" w:fill="E1EBF7"/>
          </w:tcPr>
          <w:p w14:paraId="6F14FCFD" w14:textId="25951608" w:rsidR="007365B0" w:rsidRPr="00292B84" w:rsidRDefault="00236ECB" w:rsidP="00EF6741">
            <w:pPr>
              <w:spacing w:before="60" w:after="60"/>
              <w:rPr>
                <w:rFonts w:ascii="Source Sans Pro" w:hAnsi="Source Sans Pro" w:cs="Arial"/>
                <w:b/>
                <w:bCs/>
                <w:iCs/>
                <w:color w:val="000000" w:themeColor="text1"/>
              </w:rPr>
            </w:pPr>
            <w:r w:rsidRPr="00292B84">
              <w:rPr>
                <w:rFonts w:ascii="Source Sans Pro" w:hAnsi="Source Sans Pro" w:cs="Arial"/>
                <w:b/>
                <w:bCs/>
                <w:iCs/>
                <w:color w:val="000000" w:themeColor="text1"/>
              </w:rPr>
              <w:t xml:space="preserve">Ministry for Regulation </w:t>
            </w:r>
            <w:r w:rsidR="009C0153">
              <w:rPr>
                <w:rFonts w:ascii="Source Sans Pro" w:hAnsi="Source Sans Pro" w:cs="Arial"/>
                <w:b/>
                <w:bCs/>
                <w:iCs/>
                <w:color w:val="000000" w:themeColor="text1"/>
              </w:rPr>
              <w:t>identification</w:t>
            </w:r>
            <w:r w:rsidR="009C0153" w:rsidRPr="00292B84">
              <w:rPr>
                <w:rFonts w:ascii="Source Sans Pro" w:hAnsi="Source Sans Pro" w:cs="Arial"/>
                <w:b/>
                <w:bCs/>
                <w:iCs/>
                <w:color w:val="000000" w:themeColor="text1"/>
              </w:rPr>
              <w:t xml:space="preserve"> </w:t>
            </w:r>
            <w:r w:rsidRPr="00292B84">
              <w:rPr>
                <w:rFonts w:ascii="Source Sans Pro" w:hAnsi="Source Sans Pro" w:cs="Arial"/>
                <w:b/>
                <w:bCs/>
                <w:iCs/>
                <w:color w:val="000000" w:themeColor="text1"/>
              </w:rPr>
              <w:t>number</w:t>
            </w:r>
          </w:p>
        </w:tc>
        <w:tc>
          <w:tcPr>
            <w:tcW w:w="2641" w:type="pct"/>
          </w:tcPr>
          <w:p w14:paraId="133A64E2" w14:textId="19674914" w:rsidR="007365B0" w:rsidRPr="00292B84" w:rsidRDefault="00D97368" w:rsidP="00236ECB">
            <w:pPr>
              <w:spacing w:after="0"/>
              <w:rPr>
                <w:rFonts w:ascii="Source Sans Pro" w:hAnsi="Source Sans Pro" w:cs="Arial"/>
                <w:i/>
                <w:color w:val="000000" w:themeColor="text1"/>
              </w:rPr>
            </w:pPr>
            <w:r w:rsidRPr="00292B84">
              <w:rPr>
                <w:rFonts w:ascii="Source Sans Pro" w:hAnsi="Source Sans Pro" w:cs="Arial"/>
                <w:i/>
                <w:color w:val="000000" w:themeColor="text1"/>
                <w:highlight w:val="yellow"/>
              </w:rPr>
              <w:t>[This number will be provided though RIA Online and be in the format of “REG-XXXX”.]</w:t>
            </w:r>
          </w:p>
        </w:tc>
      </w:tr>
    </w:tbl>
    <w:p w14:paraId="4CFB6D91" w14:textId="296C9518" w:rsidR="00CD7956" w:rsidRPr="00292B84" w:rsidRDefault="00CD7956" w:rsidP="00D03AA0">
      <w:pPr>
        <w:spacing w:after="60"/>
        <w:rPr>
          <w:rFonts w:ascii="Source Sans Pro" w:hAnsi="Source Sans Pro" w:cs="Arial"/>
          <w:b/>
          <w:bCs/>
          <w:color w:val="000000" w:themeColor="text1"/>
        </w:rPr>
      </w:pPr>
    </w:p>
    <w:tbl>
      <w:tblPr>
        <w:tblStyle w:val="TableGrid"/>
        <w:tblW w:w="0" w:type="auto"/>
        <w:tblLook w:val="04A0" w:firstRow="1" w:lastRow="0" w:firstColumn="1" w:lastColumn="0" w:noHBand="0" w:noVBand="1"/>
      </w:tblPr>
      <w:tblGrid>
        <w:gridCol w:w="9016"/>
      </w:tblGrid>
      <w:tr w:rsidR="00BB6BDD" w:rsidRPr="00807F92" w14:paraId="18867894" w14:textId="77777777" w:rsidTr="00AB25C7">
        <w:tc>
          <w:tcPr>
            <w:tcW w:w="9016" w:type="dxa"/>
            <w:shd w:val="clear" w:color="auto" w:fill="E2EFD9" w:themeFill="accent6" w:themeFillTint="33"/>
          </w:tcPr>
          <w:p w14:paraId="0A6324C6" w14:textId="6ABF50BE" w:rsidR="00BB6BDD" w:rsidRPr="00807F92" w:rsidRDefault="00BB6BDD" w:rsidP="00807F92">
            <w:pPr>
              <w:spacing w:before="60" w:after="60" w:line="259" w:lineRule="auto"/>
              <w:rPr>
                <w:rFonts w:ascii="Source Sans Pro" w:hAnsi="Source Sans Pro" w:cs="Arial"/>
                <w:b/>
                <w:bCs/>
                <w:iCs/>
                <w:color w:val="000000" w:themeColor="text1"/>
              </w:rPr>
            </w:pPr>
            <w:r w:rsidRPr="00807F92">
              <w:rPr>
                <w:rFonts w:ascii="Source Sans Pro" w:hAnsi="Source Sans Pro" w:cs="Arial"/>
                <w:b/>
                <w:bCs/>
                <w:iCs/>
                <w:color w:val="000000" w:themeColor="text1"/>
              </w:rPr>
              <w:t>The boxes below are intended to be a brief summary. The coversheet should be no longer than 2-3 pages.</w:t>
            </w:r>
          </w:p>
        </w:tc>
      </w:tr>
    </w:tbl>
    <w:p w14:paraId="4C2A5B8E" w14:textId="77777777" w:rsidR="00BB6BDD" w:rsidRPr="00807F92" w:rsidRDefault="00BB6BDD" w:rsidP="00807F92">
      <w:pPr>
        <w:spacing w:before="60" w:after="60"/>
        <w:rPr>
          <w:rFonts w:ascii="Source Sans Pro" w:hAnsi="Source Sans Pro" w:cs="Arial"/>
          <w:b/>
          <w:bCs/>
          <w:iCs/>
          <w:color w:val="000000" w:themeColor="text1"/>
        </w:rPr>
      </w:pPr>
    </w:p>
    <w:tbl>
      <w:tblPr>
        <w:tblStyle w:val="TableGrid"/>
        <w:tblW w:w="0" w:type="auto"/>
        <w:tblLook w:val="04A0" w:firstRow="1" w:lastRow="0" w:firstColumn="1" w:lastColumn="0" w:noHBand="0" w:noVBand="1"/>
      </w:tblPr>
      <w:tblGrid>
        <w:gridCol w:w="9016"/>
      </w:tblGrid>
      <w:tr w:rsidR="00BA553B" w:rsidRPr="00292B84" w14:paraId="6057E946" w14:textId="77777777">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33B8F" w14:textId="4F466D4F" w:rsidR="00BA553B" w:rsidRPr="00292B84" w:rsidRDefault="00BA553B">
            <w:pPr>
              <w:rPr>
                <w:rFonts w:ascii="Source Sans Pro" w:hAnsi="Source Sans Pro" w:cs="Arial"/>
                <w:b/>
                <w:bCs/>
                <w:color w:val="000000" w:themeColor="text1"/>
              </w:rPr>
            </w:pPr>
            <w:r w:rsidRPr="00292B84">
              <w:rPr>
                <w:rFonts w:ascii="Source Sans Pro" w:hAnsi="Source Sans Pro" w:cs="Arial"/>
                <w:b/>
                <w:bCs/>
                <w:color w:val="000000" w:themeColor="text1"/>
              </w:rPr>
              <w:t xml:space="preserve">Summary of </w:t>
            </w:r>
            <w:r w:rsidR="00D465B4">
              <w:rPr>
                <w:rFonts w:ascii="Source Sans Pro" w:hAnsi="Source Sans Pro" w:cs="Arial"/>
                <w:b/>
                <w:bCs/>
                <w:color w:val="000000" w:themeColor="text1"/>
              </w:rPr>
              <w:t>recommended cost recovery</w:t>
            </w:r>
            <w:r w:rsidR="0064761C">
              <w:rPr>
                <w:rFonts w:ascii="Source Sans Pro" w:hAnsi="Source Sans Pro" w:cs="Arial"/>
                <w:b/>
                <w:bCs/>
                <w:color w:val="000000" w:themeColor="text1"/>
              </w:rPr>
              <w:t xml:space="preserve"> proposal</w:t>
            </w:r>
          </w:p>
          <w:p w14:paraId="0930CF4B" w14:textId="77777777" w:rsidR="00BA553B" w:rsidRPr="00292B84" w:rsidRDefault="00BA553B">
            <w:pPr>
              <w:rPr>
                <w:rFonts w:ascii="Source Sans Pro" w:hAnsi="Source Sans Pro"/>
                <w:b/>
                <w:bCs/>
              </w:rPr>
            </w:pPr>
          </w:p>
          <w:p w14:paraId="32AE75B9" w14:textId="77777777" w:rsidR="00BA553B" w:rsidRPr="00292B84" w:rsidRDefault="00BA553B">
            <w:pPr>
              <w:rPr>
                <w:rFonts w:ascii="Source Sans Pro" w:hAnsi="Source Sans Pro"/>
                <w:b/>
                <w:bCs/>
              </w:rPr>
            </w:pPr>
          </w:p>
          <w:p w14:paraId="667F9D29" w14:textId="77777777" w:rsidR="00FC3349" w:rsidRPr="00292B84" w:rsidRDefault="00FC3349">
            <w:pPr>
              <w:rPr>
                <w:rFonts w:ascii="Source Sans Pro" w:hAnsi="Source Sans Pro"/>
                <w:b/>
                <w:bCs/>
              </w:rPr>
            </w:pPr>
          </w:p>
          <w:p w14:paraId="69E70FD9" w14:textId="77777777" w:rsidR="00BA553B" w:rsidRPr="00292B84" w:rsidRDefault="00BA553B">
            <w:pPr>
              <w:rPr>
                <w:rFonts w:ascii="Source Sans Pro" w:hAnsi="Source Sans Pro"/>
                <w:b/>
                <w:bCs/>
              </w:rPr>
            </w:pPr>
          </w:p>
        </w:tc>
      </w:tr>
      <w:tr w:rsidR="00F9247D" w:rsidRPr="00292B84" w14:paraId="27E7C666" w14:textId="77777777" w:rsidTr="22C603BA">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731"/>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4FEA3" w14:textId="783CB44B" w:rsidR="00F9247D" w:rsidRPr="00292B84" w:rsidRDefault="00F9247D" w:rsidP="009632D8">
            <w:pPr>
              <w:rPr>
                <w:rFonts w:ascii="Source Sans Pro" w:hAnsi="Source Sans Pro" w:cs="Arial"/>
                <w:b/>
                <w:bCs/>
                <w:color w:val="000000" w:themeColor="text1"/>
              </w:rPr>
            </w:pPr>
            <w:r w:rsidRPr="00292B84">
              <w:rPr>
                <w:rFonts w:ascii="Source Sans Pro" w:hAnsi="Source Sans Pro" w:cs="Arial"/>
                <w:b/>
                <w:bCs/>
                <w:color w:val="000000" w:themeColor="text1"/>
              </w:rPr>
              <w:t>Have any potential inconsistencies with the principles of responsible regulation in the Regulatory Standards Act been identified</w:t>
            </w:r>
            <w:r w:rsidR="00FD279A" w:rsidRPr="00292B84">
              <w:rPr>
                <w:rFonts w:ascii="Source Sans Pro" w:hAnsi="Source Sans Pro" w:cs="Arial"/>
                <w:b/>
                <w:bCs/>
                <w:color w:val="000000" w:themeColor="text1"/>
              </w:rPr>
              <w:t xml:space="preserve"> </w:t>
            </w:r>
            <w:r w:rsidR="00065008">
              <w:rPr>
                <w:rFonts w:ascii="Source Sans Pro" w:hAnsi="Source Sans Pro" w:cs="Arial"/>
                <w:b/>
                <w:bCs/>
                <w:color w:val="000000" w:themeColor="text1"/>
              </w:rPr>
              <w:t>with the cost recovery proposal</w:t>
            </w:r>
            <w:r w:rsidR="00A66811">
              <w:rPr>
                <w:rFonts w:ascii="Source Sans Pro" w:hAnsi="Source Sans Pro" w:cs="Arial"/>
                <w:b/>
                <w:bCs/>
                <w:color w:val="000000" w:themeColor="text1"/>
              </w:rPr>
              <w:t xml:space="preserve">, </w:t>
            </w:r>
            <w:r w:rsidR="00A66811">
              <w:rPr>
                <w:rFonts w:ascii="Source Sans Pro" w:hAnsi="Source Sans Pro"/>
                <w:b/>
                <w:bCs/>
              </w:rPr>
              <w:t>including sections 9(d)-(f) relating to taxes, fees, and levies</w:t>
            </w:r>
            <w:r w:rsidRPr="00292B84">
              <w:rPr>
                <w:rFonts w:ascii="Source Sans Pro" w:hAnsi="Source Sans Pro" w:cs="Arial"/>
                <w:b/>
                <w:bCs/>
                <w:color w:val="000000" w:themeColor="text1"/>
              </w:rPr>
              <w:t>?</w:t>
            </w:r>
          </w:p>
          <w:p w14:paraId="593B7FF4" w14:textId="595C0A15"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 xml:space="preserve">Yes / no </w:t>
            </w:r>
          </w:p>
          <w:p w14:paraId="5A698211" w14:textId="77777777" w:rsidR="00F9247D" w:rsidRPr="00292B84" w:rsidRDefault="00F9247D" w:rsidP="00F9247D">
            <w:pPr>
              <w:rPr>
                <w:rFonts w:ascii="Source Sans Pro" w:hAnsi="Source Sans Pro" w:cs="Arial"/>
                <w:i/>
                <w:iCs/>
                <w:color w:val="000000" w:themeColor="text1"/>
              </w:rPr>
            </w:pPr>
            <w:r w:rsidRPr="00292B84">
              <w:rPr>
                <w:rFonts w:ascii="Source Sans Pro" w:hAnsi="Source Sans Pro" w:cs="Arial"/>
                <w:i/>
                <w:iCs/>
                <w:color w:val="000000" w:themeColor="text1"/>
              </w:rPr>
              <w:t>[if yes, specify which principle(s)]</w:t>
            </w:r>
          </w:p>
          <w:p w14:paraId="19D55342" w14:textId="5AA8A3CF" w:rsidR="00FA1CB7" w:rsidRPr="00292B84" w:rsidRDefault="00FA1CB7" w:rsidP="00F9247D">
            <w:pPr>
              <w:rPr>
                <w:rFonts w:ascii="Source Sans Pro" w:hAnsi="Source Sans Pro" w:cs="Arial"/>
                <w:color w:val="000000" w:themeColor="text1"/>
              </w:rPr>
            </w:pPr>
          </w:p>
        </w:tc>
      </w:tr>
    </w:tbl>
    <w:p w14:paraId="75A57D2D" w14:textId="77777777" w:rsidR="00392E5F" w:rsidRPr="00292B84" w:rsidRDefault="00392E5F" w:rsidP="00895A38">
      <w:pPr>
        <w:rPr>
          <w:rFonts w:ascii="Source Sans Pro" w:hAnsi="Source Sans Pro" w:cs="Arial"/>
          <w:b/>
          <w:bCs/>
        </w:rPr>
      </w:pPr>
    </w:p>
    <w:tbl>
      <w:tblPr>
        <w:tblStyle w:val="TableGrid"/>
        <w:tblW w:w="0" w:type="auto"/>
        <w:tblLook w:val="04A0" w:firstRow="1" w:lastRow="0" w:firstColumn="1" w:lastColumn="0" w:noHBand="0" w:noVBand="1"/>
      </w:tblPr>
      <w:tblGrid>
        <w:gridCol w:w="3256"/>
        <w:gridCol w:w="1559"/>
        <w:gridCol w:w="2697"/>
        <w:gridCol w:w="1504"/>
      </w:tblGrid>
      <w:tr w:rsidR="00E52539" w:rsidRPr="00292B84" w14:paraId="23FADD8C" w14:textId="1AEE51FA" w:rsidTr="00300BD2">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1EBF7"/>
          </w:tcPr>
          <w:p w14:paraId="43CBAAA1" w14:textId="01C34A47" w:rsidR="00E52539" w:rsidRPr="00292B84" w:rsidRDefault="00E52539"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Limitations and constraints on analysis</w:t>
            </w:r>
          </w:p>
        </w:tc>
      </w:tr>
      <w:tr w:rsidR="00D67FD8" w:rsidRPr="00292B84" w14:paraId="731BF2E6" w14:textId="4DE76479" w:rsidTr="001F7090">
        <w:trPr>
          <w:trHeight w:val="272"/>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1FE87"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Condensed timeframes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5E638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6C18400" w14:textId="309754A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Constrained option set</w:t>
            </w:r>
          </w:p>
        </w:tc>
        <w:tc>
          <w:tcPr>
            <w:tcW w:w="1504" w:type="dxa"/>
          </w:tcPr>
          <w:p w14:paraId="410654D1" w14:textId="6CED78F3"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D67FD8" w:rsidRPr="00292B84" w14:paraId="5A6E2EA4" w14:textId="3BC1282C"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4253C0"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Legislative constraints</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39956"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4170C67F" w14:textId="38982EBD"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Data and evidence gaps</w:t>
            </w:r>
          </w:p>
        </w:tc>
        <w:tc>
          <w:tcPr>
            <w:tcW w:w="1504" w:type="dxa"/>
          </w:tcPr>
          <w:p w14:paraId="7C2EE60A" w14:textId="6D45FA16"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D67FD8" w:rsidRPr="00292B84" w14:paraId="55C40E1A" w14:textId="5C80FEEE"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001E79"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Ministerial direction</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9DDA14"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7DC5872F" w14:textId="4145E3D9"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Other</w:t>
            </w:r>
          </w:p>
        </w:tc>
        <w:tc>
          <w:tcPr>
            <w:tcW w:w="1504" w:type="dxa"/>
          </w:tcPr>
          <w:p w14:paraId="5BC0E353" w14:textId="279B5D75"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r>
      <w:tr w:rsidR="00D67FD8" w:rsidRPr="00292B84" w14:paraId="1ADC133E" w14:textId="6604FAD3" w:rsidTr="001F7090">
        <w:trPr>
          <w:trHeight w:val="268"/>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5DD74E"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 xml:space="preserve">Limited public consultation </w:t>
            </w:r>
          </w:p>
        </w:tc>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19BFB2" w14:textId="77777777" w:rsidR="00E52539" w:rsidRPr="00292B84" w:rsidRDefault="00E52539" w:rsidP="00E52539">
            <w:pPr>
              <w:pStyle w:val="ListParagraph"/>
              <w:ind w:left="0"/>
              <w:rPr>
                <w:rFonts w:ascii="Source Sans Pro" w:hAnsi="Source Sans Pro" w:cs="Arial"/>
                <w:color w:val="000000" w:themeColor="text1"/>
              </w:rPr>
            </w:pPr>
            <w:r w:rsidRPr="00292B84">
              <w:rPr>
                <w:rFonts w:ascii="Source Sans Pro" w:hAnsi="Source Sans Pro" w:cs="Arial"/>
                <w:color w:val="000000" w:themeColor="text1"/>
              </w:rPr>
              <w:t>[Yes, No]</w:t>
            </w:r>
          </w:p>
        </w:tc>
        <w:tc>
          <w:tcPr>
            <w:tcW w:w="2697" w:type="dxa"/>
          </w:tcPr>
          <w:p w14:paraId="1A5079AE" w14:textId="77777777" w:rsidR="00E52539" w:rsidRPr="00292B84" w:rsidRDefault="00E52539" w:rsidP="00E52539">
            <w:pPr>
              <w:pStyle w:val="ListParagraph"/>
              <w:ind w:left="0"/>
              <w:rPr>
                <w:rFonts w:ascii="Source Sans Pro" w:hAnsi="Source Sans Pro" w:cs="Arial"/>
                <w:color w:val="000000" w:themeColor="text1"/>
              </w:rPr>
            </w:pPr>
          </w:p>
        </w:tc>
        <w:tc>
          <w:tcPr>
            <w:tcW w:w="1504" w:type="dxa"/>
          </w:tcPr>
          <w:p w14:paraId="68176FCE" w14:textId="77777777" w:rsidR="00E52539" w:rsidRPr="00292B84" w:rsidRDefault="00E52539" w:rsidP="00E52539">
            <w:pPr>
              <w:pStyle w:val="ListParagraph"/>
              <w:ind w:left="0"/>
              <w:rPr>
                <w:rFonts w:ascii="Source Sans Pro" w:hAnsi="Source Sans Pro" w:cs="Arial"/>
                <w:color w:val="000000" w:themeColor="text1"/>
              </w:rPr>
            </w:pPr>
          </w:p>
        </w:tc>
      </w:tr>
      <w:tr w:rsidR="00E52539" w:rsidRPr="00292B84" w14:paraId="093604DD" w14:textId="7F251467">
        <w:tc>
          <w:tcPr>
            <w:tcW w:w="90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ECF66E5" w14:textId="77777777"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Summary of limitations and constraints on analysis</w:t>
            </w:r>
          </w:p>
          <w:p w14:paraId="65AB28D8" w14:textId="77777777" w:rsidR="00E52539" w:rsidRPr="00292B84" w:rsidRDefault="00E52539" w:rsidP="00E52539">
            <w:pPr>
              <w:pStyle w:val="ListParagraph"/>
              <w:ind w:left="0"/>
              <w:rPr>
                <w:rFonts w:ascii="Source Sans Pro" w:hAnsi="Source Sans Pro" w:cs="Arial"/>
                <w:color w:val="000000" w:themeColor="text1"/>
              </w:rPr>
            </w:pPr>
          </w:p>
          <w:p w14:paraId="3BEDE3C6" w14:textId="77777777" w:rsidR="00E52539" w:rsidRPr="00292B84" w:rsidRDefault="00E52539" w:rsidP="00E52539">
            <w:pPr>
              <w:pStyle w:val="ListParagraph"/>
              <w:ind w:left="0"/>
              <w:rPr>
                <w:rFonts w:ascii="Source Sans Pro" w:hAnsi="Source Sans Pro" w:cs="Arial"/>
                <w:color w:val="000000" w:themeColor="text1"/>
              </w:rPr>
            </w:pPr>
          </w:p>
          <w:p w14:paraId="3047ED09" w14:textId="35DDB3C4" w:rsidR="00E52539" w:rsidRPr="00292B84" w:rsidRDefault="00E52539" w:rsidP="00E52539">
            <w:pPr>
              <w:rPr>
                <w:rFonts w:ascii="Source Sans Pro" w:hAnsi="Source Sans Pro" w:cs="Arial"/>
                <w:b/>
                <w:bCs/>
                <w:color w:val="000000" w:themeColor="text1"/>
              </w:rPr>
            </w:pPr>
            <w:r w:rsidRPr="00292B84">
              <w:rPr>
                <w:rFonts w:ascii="Source Sans Pro" w:hAnsi="Source Sans Pro" w:cs="Arial"/>
                <w:b/>
                <w:bCs/>
                <w:color w:val="000000" w:themeColor="text1"/>
              </w:rPr>
              <w:t xml:space="preserve">What are the implications of these limitations and constraints, and what has been done – or will be done – to mitigate </w:t>
            </w:r>
            <w:r w:rsidR="007945A3" w:rsidRPr="00292B84">
              <w:rPr>
                <w:rFonts w:ascii="Source Sans Pro" w:hAnsi="Source Sans Pro" w:cs="Arial"/>
                <w:b/>
                <w:bCs/>
                <w:color w:val="000000" w:themeColor="text1"/>
              </w:rPr>
              <w:t xml:space="preserve">and manage </w:t>
            </w:r>
            <w:r w:rsidRPr="00292B84">
              <w:rPr>
                <w:rFonts w:ascii="Source Sans Pro" w:hAnsi="Source Sans Pro" w:cs="Arial"/>
                <w:b/>
                <w:bCs/>
                <w:color w:val="000000" w:themeColor="text1"/>
              </w:rPr>
              <w:t>them?</w:t>
            </w:r>
          </w:p>
          <w:p w14:paraId="525D3E65" w14:textId="77777777" w:rsidR="00E52539" w:rsidRPr="00292B84" w:rsidRDefault="00E52539" w:rsidP="00E52539">
            <w:pPr>
              <w:pStyle w:val="ListParagraph"/>
              <w:ind w:left="0"/>
              <w:rPr>
                <w:rFonts w:ascii="Source Sans Pro" w:hAnsi="Source Sans Pro" w:cs="Arial"/>
                <w:color w:val="000000" w:themeColor="text1"/>
              </w:rPr>
            </w:pPr>
          </w:p>
          <w:p w14:paraId="5E2F9782" w14:textId="77777777" w:rsidR="00E52539" w:rsidRPr="00292B84" w:rsidRDefault="00E52539" w:rsidP="00E52539">
            <w:pPr>
              <w:pStyle w:val="ListParagraph"/>
              <w:ind w:left="0"/>
              <w:rPr>
                <w:rFonts w:ascii="Source Sans Pro" w:hAnsi="Source Sans Pro" w:cs="Arial"/>
                <w:color w:val="000000" w:themeColor="text1"/>
              </w:rPr>
            </w:pPr>
          </w:p>
          <w:p w14:paraId="4C8CA10A" w14:textId="77777777" w:rsidR="00E52539" w:rsidRPr="00292B84" w:rsidRDefault="00E52539" w:rsidP="00E52539">
            <w:pPr>
              <w:rPr>
                <w:rFonts w:ascii="Source Sans Pro" w:hAnsi="Source Sans Pro" w:cs="Arial"/>
                <w:b/>
                <w:bCs/>
                <w:color w:val="000000" w:themeColor="text1"/>
              </w:rPr>
            </w:pPr>
          </w:p>
        </w:tc>
      </w:tr>
    </w:tbl>
    <w:p w14:paraId="262A4005" w14:textId="77777777" w:rsidR="007414B6" w:rsidRPr="00292B84" w:rsidRDefault="007414B6" w:rsidP="00895A38">
      <w:pPr>
        <w:rPr>
          <w:rFonts w:ascii="Source Sans Pro" w:hAnsi="Source Sans Pro" w:cs="Arial"/>
          <w:b/>
        </w:rPr>
      </w:pPr>
    </w:p>
    <w:p w14:paraId="5009C7B7" w14:textId="4BDDA68B" w:rsidR="0090739B" w:rsidRPr="00292B84" w:rsidRDefault="00895A38" w:rsidP="00895A38">
      <w:pPr>
        <w:rPr>
          <w:rFonts w:ascii="Source Sans Pro" w:hAnsi="Source Sans Pro" w:cs="Arial"/>
          <w:b/>
          <w:bCs/>
          <w:color w:val="000000" w:themeColor="text1"/>
        </w:rPr>
      </w:pPr>
      <w:r w:rsidRPr="00292B84">
        <w:rPr>
          <w:rFonts w:ascii="Source Sans Pro" w:hAnsi="Source Sans Pro" w:cs="Arial"/>
          <w:b/>
          <w:bCs/>
          <w:color w:val="000000" w:themeColor="text1"/>
        </w:rPr>
        <w:t xml:space="preserve">I am satisfied that, given the available evidence, </w:t>
      </w:r>
      <w:r w:rsidR="00B91B39" w:rsidRPr="00292B84">
        <w:rPr>
          <w:rFonts w:ascii="Source Sans Pro" w:hAnsi="Source Sans Pro" w:cs="Arial"/>
          <w:b/>
          <w:bCs/>
          <w:color w:val="000000" w:themeColor="text1"/>
        </w:rPr>
        <w:t xml:space="preserve">this </w:t>
      </w:r>
      <w:r w:rsidR="00C76C3F">
        <w:rPr>
          <w:rFonts w:ascii="Source Sans Pro" w:hAnsi="Source Sans Pro" w:cs="Arial"/>
          <w:b/>
          <w:bCs/>
          <w:color w:val="000000" w:themeColor="text1"/>
        </w:rPr>
        <w:t>C</w:t>
      </w:r>
      <w:r w:rsidR="00A92713" w:rsidRPr="00292B84">
        <w:rPr>
          <w:rFonts w:ascii="Source Sans Pro" w:hAnsi="Source Sans Pro" w:cs="Arial"/>
          <w:b/>
          <w:color w:val="000000" w:themeColor="text1"/>
        </w:rPr>
        <w:t>RA</w:t>
      </w:r>
      <w:r w:rsidR="003B1E6E" w:rsidRPr="00292B84">
        <w:rPr>
          <w:rFonts w:ascii="Source Sans Pro" w:hAnsi="Source Sans Pro" w:cs="Arial"/>
          <w:b/>
          <w:color w:val="000000" w:themeColor="text1"/>
        </w:rPr>
        <w:t>S</w:t>
      </w:r>
      <w:r w:rsidRPr="00292B84">
        <w:rPr>
          <w:rFonts w:ascii="Source Sans Pro" w:hAnsi="Source Sans Pro" w:cs="Arial"/>
          <w:b/>
          <w:bCs/>
          <w:color w:val="000000" w:themeColor="text1"/>
        </w:rPr>
        <w:t xml:space="preserve"> represents a reasonable view of the </w:t>
      </w:r>
      <w:r w:rsidR="006D37CC">
        <w:rPr>
          <w:rFonts w:ascii="Source Sans Pro" w:hAnsi="Source Sans Pro" w:cs="Arial"/>
          <w:b/>
          <w:bCs/>
          <w:color w:val="000000" w:themeColor="text1"/>
        </w:rPr>
        <w:t xml:space="preserve">impacts and </w:t>
      </w:r>
      <w:r w:rsidR="00A77A88">
        <w:rPr>
          <w:rFonts w:ascii="Source Sans Pro" w:hAnsi="Source Sans Pro" w:cs="Arial"/>
          <w:b/>
          <w:bCs/>
          <w:color w:val="000000" w:themeColor="text1"/>
        </w:rPr>
        <w:t>analysis of the recommended cost recovery proposal</w:t>
      </w:r>
      <w:r w:rsidRPr="00292B84">
        <w:rPr>
          <w:rFonts w:ascii="Source Sans Pro" w:hAnsi="Source Sans Pro" w:cs="Arial"/>
          <w:b/>
          <w:bCs/>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103DB3" w:rsidRPr="00292B84" w14:paraId="787C586C" w14:textId="77777777" w:rsidTr="00B816E5">
        <w:tc>
          <w:tcPr>
            <w:tcW w:w="3681" w:type="dxa"/>
          </w:tcPr>
          <w:p w14:paraId="211CA4A2" w14:textId="2976EDA9" w:rsidR="00103DB3" w:rsidRPr="00292B84" w:rsidRDefault="00103DB3" w:rsidP="00895A38">
            <w:pPr>
              <w:rPr>
                <w:rFonts w:ascii="Source Sans Pro" w:hAnsi="Source Sans Pro" w:cs="Arial"/>
                <w:b/>
                <w:bCs/>
                <w:color w:val="000000" w:themeColor="text1"/>
              </w:rPr>
            </w:pPr>
            <w:r w:rsidRPr="00292B84">
              <w:rPr>
                <w:rFonts w:ascii="Source Sans Pro" w:hAnsi="Source Sans Pro" w:cs="Arial"/>
                <w:b/>
                <w:bCs/>
                <w:color w:val="000000" w:themeColor="text1"/>
              </w:rPr>
              <w:t>Responsible Manager(s) signature:</w:t>
            </w:r>
          </w:p>
        </w:tc>
        <w:tc>
          <w:tcPr>
            <w:tcW w:w="4966" w:type="dxa"/>
            <w:tcBorders>
              <w:bottom w:val="single" w:sz="4" w:space="0" w:color="auto"/>
            </w:tcBorders>
          </w:tcPr>
          <w:p w14:paraId="62E4A434" w14:textId="5ED8A9F4" w:rsidR="00103DB3" w:rsidRPr="00292B84" w:rsidRDefault="00103DB3" w:rsidP="00895A38">
            <w:pPr>
              <w:rPr>
                <w:rFonts w:ascii="Source Sans Pro" w:hAnsi="Source Sans Pro" w:cs="Arial"/>
                <w:b/>
                <w:bCs/>
                <w:color w:val="000000" w:themeColor="text1"/>
              </w:rPr>
            </w:pPr>
          </w:p>
        </w:tc>
      </w:tr>
      <w:tr w:rsidR="00103DB3" w:rsidRPr="00292B84" w14:paraId="3628D4E5" w14:textId="77777777" w:rsidTr="00B816E5">
        <w:tc>
          <w:tcPr>
            <w:tcW w:w="3681" w:type="dxa"/>
          </w:tcPr>
          <w:p w14:paraId="73BDD393" w14:textId="26B5DEEF" w:rsidR="00BF5A3D" w:rsidRPr="00807F92" w:rsidRDefault="00BF5A3D"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 xml:space="preserve">[Insert </w:t>
            </w:r>
            <w:r w:rsidR="00C85CEB" w:rsidRPr="00807F92">
              <w:rPr>
                <w:rFonts w:ascii="Source Sans Pro" w:hAnsi="Source Sans Pro" w:cs="Arial"/>
                <w:b/>
                <w:bCs/>
                <w:color w:val="000000" w:themeColor="text1"/>
                <w:highlight w:val="yellow"/>
              </w:rPr>
              <w:t xml:space="preserve">Manager’s </w:t>
            </w:r>
            <w:r w:rsidRPr="00807F92">
              <w:rPr>
                <w:rFonts w:ascii="Source Sans Pro" w:hAnsi="Source Sans Pro" w:cs="Arial"/>
                <w:b/>
                <w:bCs/>
                <w:color w:val="000000" w:themeColor="text1"/>
                <w:highlight w:val="yellow"/>
              </w:rPr>
              <w:t>name]</w:t>
            </w:r>
          </w:p>
          <w:p w14:paraId="555918E6" w14:textId="0502AAB2" w:rsidR="00103DB3" w:rsidRPr="00807F92" w:rsidRDefault="00BF5A3D"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 xml:space="preserve">[Insert </w:t>
            </w:r>
            <w:r w:rsidR="00C85CEB" w:rsidRPr="00807F92">
              <w:rPr>
                <w:rFonts w:ascii="Source Sans Pro" w:hAnsi="Source Sans Pro" w:cs="Arial"/>
                <w:b/>
                <w:bCs/>
                <w:color w:val="000000" w:themeColor="text1"/>
                <w:highlight w:val="yellow"/>
              </w:rPr>
              <w:t xml:space="preserve">Manager’s </w:t>
            </w:r>
            <w:r w:rsidRPr="00807F92">
              <w:rPr>
                <w:rFonts w:ascii="Source Sans Pro" w:hAnsi="Source Sans Pro" w:cs="Arial"/>
                <w:b/>
                <w:bCs/>
                <w:color w:val="000000" w:themeColor="text1"/>
                <w:highlight w:val="yellow"/>
              </w:rPr>
              <w:t>title]</w:t>
            </w:r>
          </w:p>
        </w:tc>
        <w:tc>
          <w:tcPr>
            <w:tcW w:w="4966" w:type="dxa"/>
            <w:tcBorders>
              <w:top w:val="single" w:sz="4" w:space="0" w:color="auto"/>
            </w:tcBorders>
          </w:tcPr>
          <w:p w14:paraId="561D1E86" w14:textId="77777777" w:rsidR="00103DB3" w:rsidRPr="00292B84" w:rsidRDefault="00103DB3" w:rsidP="00895A38">
            <w:pPr>
              <w:rPr>
                <w:rFonts w:ascii="Source Sans Pro" w:hAnsi="Source Sans Pro" w:cs="Arial"/>
                <w:b/>
                <w:bCs/>
                <w:color w:val="000000" w:themeColor="text1"/>
              </w:rPr>
            </w:pPr>
          </w:p>
        </w:tc>
      </w:tr>
      <w:tr w:rsidR="00103DB3" w:rsidRPr="00292B84" w14:paraId="411DDB36" w14:textId="77777777" w:rsidTr="00807F92">
        <w:trPr>
          <w:trHeight w:val="175"/>
        </w:trPr>
        <w:tc>
          <w:tcPr>
            <w:tcW w:w="3681" w:type="dxa"/>
          </w:tcPr>
          <w:p w14:paraId="577C2357" w14:textId="09FE7F2B" w:rsidR="00103DB3" w:rsidRPr="00807F92" w:rsidRDefault="00103DB3" w:rsidP="00895A38">
            <w:pPr>
              <w:rPr>
                <w:rFonts w:ascii="Source Sans Pro" w:hAnsi="Source Sans Pro" w:cs="Arial"/>
                <w:b/>
                <w:bCs/>
                <w:color w:val="000000" w:themeColor="text1"/>
                <w:highlight w:val="yellow"/>
              </w:rPr>
            </w:pPr>
            <w:r w:rsidRPr="00807F92">
              <w:rPr>
                <w:rFonts w:ascii="Source Sans Pro" w:hAnsi="Source Sans Pro" w:cs="Arial"/>
                <w:b/>
                <w:bCs/>
                <w:color w:val="000000" w:themeColor="text1"/>
                <w:highlight w:val="yellow"/>
              </w:rPr>
              <w:t>[Insert date]</w:t>
            </w:r>
          </w:p>
        </w:tc>
        <w:tc>
          <w:tcPr>
            <w:tcW w:w="4966" w:type="dxa"/>
          </w:tcPr>
          <w:p w14:paraId="5064ABC1" w14:textId="77777777" w:rsidR="00103DB3" w:rsidRPr="00292B84" w:rsidRDefault="00103DB3" w:rsidP="00895A38">
            <w:pPr>
              <w:rPr>
                <w:rFonts w:ascii="Source Sans Pro" w:hAnsi="Source Sans Pro" w:cs="Arial"/>
                <w:b/>
                <w:bCs/>
                <w:color w:val="000000" w:themeColor="text1"/>
              </w:rPr>
            </w:pPr>
          </w:p>
        </w:tc>
      </w:tr>
    </w:tbl>
    <w:p w14:paraId="04D271FC" w14:textId="77777777" w:rsidR="001E5CE8" w:rsidRPr="00292B84" w:rsidRDefault="001E5CE8" w:rsidP="00895A38">
      <w:pPr>
        <w:rPr>
          <w:rFonts w:ascii="Source Sans Pro" w:hAnsi="Source Sans Pro" w:cs="Arial"/>
          <w:b/>
          <w:bCs/>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08"/>
        <w:gridCol w:w="4508"/>
      </w:tblGrid>
      <w:tr w:rsidR="00C22F10" w:rsidRPr="00292B84" w14:paraId="6B32FC73" w14:textId="77777777" w:rsidTr="00300BD2">
        <w:trPr>
          <w:trHeight w:val="423"/>
        </w:trPr>
        <w:tc>
          <w:tcPr>
            <w:tcW w:w="9016" w:type="dxa"/>
            <w:gridSpan w:val="2"/>
            <w:shd w:val="clear" w:color="auto" w:fill="E1EBF7"/>
          </w:tcPr>
          <w:p w14:paraId="5CC42101" w14:textId="47AB4EBA" w:rsidR="00895A38" w:rsidRPr="00292B84" w:rsidRDefault="00895A38" w:rsidP="00300BD2">
            <w:pPr>
              <w:spacing w:before="60" w:after="60"/>
              <w:rPr>
                <w:rFonts w:ascii="Source Sans Pro" w:hAnsi="Source Sans Pro"/>
              </w:rPr>
            </w:pPr>
            <w:r w:rsidRPr="00300BD2">
              <w:rPr>
                <w:rFonts w:ascii="Source Sans Pro" w:hAnsi="Source Sans Pro" w:cs="Arial"/>
                <w:b/>
                <w:bCs/>
                <w:iCs/>
                <w:color w:val="000000" w:themeColor="text1"/>
                <w:sz w:val="24"/>
                <w:szCs w:val="24"/>
              </w:rPr>
              <w:t>Quality Assurance Statement</w:t>
            </w:r>
          </w:p>
        </w:tc>
      </w:tr>
      <w:tr w:rsidR="00C22F10" w:rsidRPr="00292B84" w14:paraId="6610EFB9" w14:textId="77777777" w:rsidTr="00F96682">
        <w:tc>
          <w:tcPr>
            <w:tcW w:w="4508" w:type="dxa"/>
          </w:tcPr>
          <w:p w14:paraId="051BC15B" w14:textId="142CD0CD" w:rsidR="00C375F7" w:rsidRPr="00292B84" w:rsidRDefault="00C375F7" w:rsidP="00CB6CB3">
            <w:pPr>
              <w:rPr>
                <w:rFonts w:ascii="Source Sans Pro" w:hAnsi="Source Sans Pro" w:cs="Arial"/>
                <w:b/>
                <w:bCs/>
                <w:color w:val="000000" w:themeColor="text1"/>
              </w:rPr>
            </w:pPr>
            <w:r w:rsidRPr="00292B84">
              <w:rPr>
                <w:rFonts w:ascii="Source Sans Pro" w:hAnsi="Source Sans Pro" w:cs="Arial"/>
                <w:b/>
                <w:bCs/>
                <w:color w:val="000000" w:themeColor="text1"/>
              </w:rPr>
              <w:t xml:space="preserve">Reviewing </w:t>
            </w:r>
            <w:r w:rsidR="00EA7512" w:rsidRPr="00967471">
              <w:rPr>
                <w:rFonts w:ascii="Source Sans Pro" w:hAnsi="Source Sans Pro" w:cs="Arial"/>
                <w:b/>
                <w:color w:val="000000" w:themeColor="text1"/>
                <w:highlight w:val="yellow"/>
              </w:rPr>
              <w:t>[</w:t>
            </w:r>
            <w:r w:rsidRPr="00967471">
              <w:rPr>
                <w:rFonts w:ascii="Source Sans Pro" w:hAnsi="Source Sans Pro" w:cs="Arial"/>
                <w:b/>
                <w:bCs/>
                <w:color w:val="000000" w:themeColor="text1"/>
                <w:highlight w:val="yellow"/>
              </w:rPr>
              <w:t>Agency</w:t>
            </w:r>
            <w:r w:rsidR="00EA7512" w:rsidRPr="00967471">
              <w:rPr>
                <w:rFonts w:ascii="Source Sans Pro" w:hAnsi="Source Sans Pro" w:cs="Arial"/>
                <w:b/>
                <w:bCs/>
                <w:color w:val="000000" w:themeColor="text1"/>
                <w:highlight w:val="yellow"/>
              </w:rPr>
              <w:t>/Agencies</w:t>
            </w:r>
            <w:r w:rsidR="00EA7512" w:rsidRPr="00967471">
              <w:rPr>
                <w:rFonts w:ascii="Source Sans Pro" w:hAnsi="Source Sans Pro" w:cs="Arial"/>
                <w:b/>
                <w:color w:val="000000" w:themeColor="text1"/>
                <w:highlight w:val="yellow"/>
              </w:rPr>
              <w:t>]</w:t>
            </w:r>
            <w:r w:rsidRPr="00292B84">
              <w:rPr>
                <w:rFonts w:ascii="Source Sans Pro" w:hAnsi="Source Sans Pro" w:cs="Arial"/>
                <w:b/>
                <w:bCs/>
                <w:color w:val="000000" w:themeColor="text1"/>
              </w:rPr>
              <w:t>:</w:t>
            </w:r>
          </w:p>
        </w:tc>
        <w:tc>
          <w:tcPr>
            <w:tcW w:w="4508" w:type="dxa"/>
          </w:tcPr>
          <w:p w14:paraId="3B632861" w14:textId="0493C38B" w:rsidR="00C375F7" w:rsidRPr="00292B84" w:rsidRDefault="00C375F7" w:rsidP="00CB6CB3">
            <w:pPr>
              <w:rPr>
                <w:rFonts w:ascii="Source Sans Pro" w:hAnsi="Source Sans Pro" w:cs="Arial"/>
                <w:color w:val="000000" w:themeColor="text1"/>
              </w:rPr>
            </w:pPr>
            <w:r w:rsidRPr="00292B84">
              <w:rPr>
                <w:rFonts w:ascii="Source Sans Pro" w:hAnsi="Source Sans Pro" w:cs="Arial"/>
                <w:b/>
                <w:bCs/>
                <w:color w:val="000000" w:themeColor="text1"/>
              </w:rPr>
              <w:t xml:space="preserve">QA rating: </w:t>
            </w:r>
            <w:r w:rsidRPr="00967471">
              <w:rPr>
                <w:rFonts w:ascii="Source Sans Pro" w:hAnsi="Source Sans Pro" w:cs="Arial"/>
                <w:color w:val="000000" w:themeColor="text1"/>
                <w:highlight w:val="yellow"/>
              </w:rPr>
              <w:t>[Meets, partially meets, does not meet]</w:t>
            </w:r>
          </w:p>
        </w:tc>
      </w:tr>
      <w:tr w:rsidR="0089363E" w:rsidRPr="00292B84" w14:paraId="2E54ADCF" w14:textId="77777777" w:rsidTr="00FC3349">
        <w:trPr>
          <w:trHeight w:val="1124"/>
        </w:trPr>
        <w:tc>
          <w:tcPr>
            <w:tcW w:w="9016" w:type="dxa"/>
            <w:gridSpan w:val="2"/>
          </w:tcPr>
          <w:p w14:paraId="0E863AD5" w14:textId="77777777" w:rsidR="0089363E" w:rsidRPr="00292B84" w:rsidRDefault="0089363E" w:rsidP="0089363E">
            <w:pPr>
              <w:rPr>
                <w:rFonts w:ascii="Source Sans Pro" w:hAnsi="Source Sans Pro" w:cs="Arial"/>
                <w:b/>
                <w:bCs/>
                <w:color w:val="000000" w:themeColor="text1"/>
              </w:rPr>
            </w:pPr>
            <w:r w:rsidRPr="00292B84">
              <w:rPr>
                <w:rFonts w:ascii="Source Sans Pro" w:hAnsi="Source Sans Pro" w:cs="Arial"/>
                <w:b/>
                <w:bCs/>
                <w:color w:val="000000" w:themeColor="text1"/>
              </w:rPr>
              <w:t>Panel Comment:</w:t>
            </w:r>
          </w:p>
          <w:p w14:paraId="5EE1A0AE" w14:textId="77777777" w:rsidR="00C375F7" w:rsidRPr="00292B84" w:rsidRDefault="00C375F7" w:rsidP="0089363E">
            <w:pPr>
              <w:rPr>
                <w:rFonts w:ascii="Source Sans Pro" w:hAnsi="Source Sans Pro" w:cs="Arial"/>
                <w:b/>
                <w:bCs/>
                <w:color w:val="000000" w:themeColor="text1"/>
              </w:rPr>
            </w:pPr>
          </w:p>
          <w:p w14:paraId="329332CA" w14:textId="77777777" w:rsidR="00C375F7" w:rsidRPr="00292B84" w:rsidRDefault="00C375F7" w:rsidP="0089363E">
            <w:pPr>
              <w:rPr>
                <w:rFonts w:ascii="Source Sans Pro" w:hAnsi="Source Sans Pro" w:cs="Arial"/>
                <w:b/>
                <w:bCs/>
                <w:color w:val="000000" w:themeColor="text1"/>
              </w:rPr>
            </w:pPr>
          </w:p>
          <w:p w14:paraId="10DE557C" w14:textId="77777777" w:rsidR="00C375F7" w:rsidRPr="00292B84" w:rsidRDefault="00C375F7" w:rsidP="0089363E">
            <w:pPr>
              <w:rPr>
                <w:rFonts w:ascii="Source Sans Pro" w:hAnsi="Source Sans Pro" w:cs="Arial"/>
                <w:b/>
                <w:bCs/>
                <w:color w:val="000000" w:themeColor="text1"/>
              </w:rPr>
            </w:pPr>
          </w:p>
          <w:p w14:paraId="691B045E" w14:textId="77777777" w:rsidR="00C375F7" w:rsidRPr="00292B84" w:rsidRDefault="00C375F7" w:rsidP="0089363E">
            <w:pPr>
              <w:rPr>
                <w:rFonts w:ascii="Source Sans Pro" w:hAnsi="Source Sans Pro" w:cs="Arial"/>
                <w:b/>
                <w:bCs/>
                <w:color w:val="000000" w:themeColor="text1"/>
              </w:rPr>
            </w:pPr>
          </w:p>
          <w:p w14:paraId="68B3A62A" w14:textId="77777777" w:rsidR="00C375F7" w:rsidRPr="00292B84" w:rsidRDefault="00C375F7" w:rsidP="0089363E">
            <w:pPr>
              <w:rPr>
                <w:rFonts w:ascii="Source Sans Pro" w:hAnsi="Source Sans Pro" w:cs="Arial"/>
                <w:b/>
                <w:bCs/>
                <w:color w:val="000000" w:themeColor="text1"/>
              </w:rPr>
            </w:pPr>
          </w:p>
          <w:p w14:paraId="1F7D8B46" w14:textId="0746517E" w:rsidR="00C375F7" w:rsidRPr="00292B84" w:rsidRDefault="00C375F7" w:rsidP="0089363E">
            <w:pPr>
              <w:rPr>
                <w:rFonts w:ascii="Source Sans Pro" w:hAnsi="Source Sans Pro" w:cs="Arial"/>
                <w:b/>
                <w:bCs/>
                <w:color w:val="000000" w:themeColor="text1"/>
              </w:rPr>
            </w:pPr>
          </w:p>
        </w:tc>
      </w:tr>
    </w:tbl>
    <w:p w14:paraId="138EA3EC" w14:textId="77777777" w:rsidR="00A86A58" w:rsidRDefault="00A86A58" w:rsidP="00C4777E">
      <w:pPr>
        <w:rPr>
          <w:b/>
          <w:sz w:val="30"/>
          <w:szCs w:val="30"/>
        </w:rPr>
      </w:pPr>
    </w:p>
    <w:p w14:paraId="6676F97E" w14:textId="77777777" w:rsidR="00A86A58" w:rsidRDefault="00A86A58">
      <w:pPr>
        <w:rPr>
          <w:b/>
          <w:sz w:val="30"/>
          <w:szCs w:val="30"/>
        </w:rPr>
      </w:pPr>
      <w:r>
        <w:rPr>
          <w:b/>
          <w:sz w:val="30"/>
          <w:szCs w:val="30"/>
        </w:rPr>
        <w:br w:type="page"/>
      </w:r>
    </w:p>
    <w:p w14:paraId="2F8EADEC" w14:textId="4108AF8E" w:rsidR="00C4777E" w:rsidRPr="007B0458" w:rsidRDefault="00DF6CD1" w:rsidP="00C4777E">
      <w:pPr>
        <w:rPr>
          <w:b/>
          <w:sz w:val="30"/>
          <w:szCs w:val="30"/>
        </w:rPr>
      </w:pPr>
      <w:r w:rsidRPr="001432A2">
        <w:rPr>
          <w:b/>
          <w:sz w:val="30"/>
          <w:szCs w:val="30"/>
        </w:rPr>
        <w:lastRenderedPageBreak/>
        <w:t xml:space="preserve">Section 1: </w:t>
      </w:r>
      <w:r w:rsidR="007B0458">
        <w:rPr>
          <w:b/>
          <w:sz w:val="30"/>
          <w:szCs w:val="30"/>
        </w:rPr>
        <w:t>Status quo</w:t>
      </w:r>
    </w:p>
    <w:p w14:paraId="5F21BE43" w14:textId="77777777" w:rsidR="00B7392D" w:rsidRPr="000A1AF9" w:rsidRDefault="00B7392D" w:rsidP="00FF1011">
      <w:pPr>
        <w:pStyle w:val="Numberedparagraph"/>
      </w:pPr>
      <w:r w:rsidRPr="000A1AF9">
        <w:t>[enter text here – use the ‘Numbered paragraph’ style]</w:t>
      </w:r>
    </w:p>
    <w:p w14:paraId="094112EE" w14:textId="3B18DA3D" w:rsidR="00992CC1" w:rsidRPr="007B0458" w:rsidRDefault="00A23FD8" w:rsidP="007B0458">
      <w:pPr>
        <w:pStyle w:val="Bullet-list"/>
        <w:numPr>
          <w:ilvl w:val="0"/>
          <w:numId w:val="0"/>
        </w:numPr>
        <w:shd w:val="clear" w:color="auto" w:fill="C5E0B3" w:themeFill="accent6" w:themeFillTint="66"/>
        <w:spacing w:after="120"/>
        <w:rPr>
          <w:rFonts w:ascii="Source Sans Pro" w:eastAsiaTheme="minorHAnsi" w:hAnsi="Source Sans Pro" w:cstheme="minorBidi"/>
          <w:iCs/>
          <w:szCs w:val="22"/>
          <w:lang w:val="en-NZ"/>
        </w:rPr>
      </w:pPr>
      <w:r w:rsidRPr="007B0458">
        <w:rPr>
          <w:rFonts w:ascii="Source Sans Pro" w:hAnsi="Source Sans Pro"/>
          <w:b/>
          <w:bCs/>
          <w:iCs/>
        </w:rPr>
        <w:t xml:space="preserve">Guidance for </w:t>
      </w:r>
      <w:r w:rsidR="00992CC1" w:rsidRPr="007B0458">
        <w:rPr>
          <w:rFonts w:ascii="Source Sans Pro" w:hAnsi="Source Sans Pro"/>
          <w:b/>
          <w:bCs/>
          <w:iCs/>
        </w:rPr>
        <w:t xml:space="preserve">this section </w:t>
      </w:r>
    </w:p>
    <w:p w14:paraId="3728E13E" w14:textId="6F072E9F" w:rsidR="00992CC1" w:rsidRP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A description of the activity and why it is undertaken.</w:t>
      </w:r>
    </w:p>
    <w:p w14:paraId="3655DC7E" w14:textId="77777777" w:rsidR="00992CC1" w:rsidRP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What policy outcomes will the activity achieve?</w:t>
      </w:r>
    </w:p>
    <w:p w14:paraId="16F8A6DE" w14:textId="77777777" w:rsidR="00992CC1" w:rsidRP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 xml:space="preserve">What is the rationale for government intervention? </w:t>
      </w:r>
    </w:p>
    <w:p w14:paraId="5C264500" w14:textId="77777777" w:rsidR="00992CC1" w:rsidRP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 xml:space="preserve">What relevant policy decisions have been made? Substantial detail is not required here, but a clear explanation of what has been agreed to and what has not been agreed to is needed. </w:t>
      </w:r>
    </w:p>
    <w:p w14:paraId="4331ED3D" w14:textId="77777777" w:rsidR="00992CC1" w:rsidRP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 xml:space="preserve">The statutory authority to charge ie, the Act that gives the power to cost recover. </w:t>
      </w:r>
    </w:p>
    <w:p w14:paraId="6D6707A3" w14:textId="77777777" w:rsidR="00992CC1" w:rsidRDefault="00992CC1" w:rsidP="00DD4944">
      <w:pPr>
        <w:pStyle w:val="Bullet-list"/>
        <w:numPr>
          <w:ilvl w:val="0"/>
          <w:numId w:val="20"/>
        </w:numPr>
        <w:shd w:val="clear" w:color="auto" w:fill="E2EFD9" w:themeFill="accent6" w:themeFillTint="33"/>
        <w:spacing w:after="120"/>
        <w:rPr>
          <w:rFonts w:ascii="Source Sans Pro" w:hAnsi="Source Sans Pro"/>
          <w:i/>
        </w:rPr>
      </w:pPr>
      <w:r w:rsidRPr="00992CC1">
        <w:rPr>
          <w:rFonts w:ascii="Source Sans Pro" w:hAnsi="Source Sans Pro"/>
          <w:i/>
        </w:rPr>
        <w:t>Is this a new or amended fee?</w:t>
      </w:r>
    </w:p>
    <w:p w14:paraId="3F25A4FF" w14:textId="77777777" w:rsidR="007B0458" w:rsidRPr="007B0458" w:rsidRDefault="007B0458" w:rsidP="00DD4944">
      <w:pPr>
        <w:pStyle w:val="Bullet-list"/>
        <w:numPr>
          <w:ilvl w:val="0"/>
          <w:numId w:val="20"/>
        </w:numPr>
        <w:shd w:val="clear" w:color="auto" w:fill="E2EFD9" w:themeFill="accent6" w:themeFillTint="33"/>
        <w:spacing w:after="120"/>
        <w:rPr>
          <w:rFonts w:ascii="Source Sans Pro" w:hAnsi="Source Sans Pro"/>
          <w:i/>
        </w:rPr>
      </w:pPr>
      <w:r w:rsidRPr="007B0458">
        <w:rPr>
          <w:rFonts w:ascii="Source Sans Pro" w:hAnsi="Source Sans Pro"/>
          <w:i/>
        </w:rPr>
        <w:t>If this proposal is a review of existing charges then the following questions need to be addressed:</w:t>
      </w:r>
    </w:p>
    <w:p w14:paraId="223798DD" w14:textId="77777777" w:rsidR="007B0458" w:rsidRPr="007B0458" w:rsidRDefault="007B0458" w:rsidP="00DD4944">
      <w:pPr>
        <w:pStyle w:val="Bullet-list"/>
        <w:numPr>
          <w:ilvl w:val="0"/>
          <w:numId w:val="21"/>
        </w:numPr>
        <w:shd w:val="clear" w:color="auto" w:fill="E2EFD9" w:themeFill="accent6" w:themeFillTint="33"/>
        <w:spacing w:after="120"/>
        <w:rPr>
          <w:rFonts w:ascii="Source Sans Pro" w:hAnsi="Source Sans Pro"/>
          <w:i/>
        </w:rPr>
      </w:pPr>
      <w:r w:rsidRPr="007B0458">
        <w:rPr>
          <w:rFonts w:ascii="Source Sans Pro" w:hAnsi="Source Sans Pro"/>
          <w:i/>
        </w:rPr>
        <w:t>What is the reason for the review? eg, scheduled review or addressing a problem</w:t>
      </w:r>
      <w:r w:rsidRPr="007B0458">
        <w:rPr>
          <w:rFonts w:ascii="Source Sans Pro" w:hAnsi="Source Sans Pro"/>
          <w:i/>
          <w:vertAlign w:val="superscript"/>
        </w:rPr>
        <w:footnoteReference w:id="2"/>
      </w:r>
      <w:r w:rsidRPr="007B0458">
        <w:rPr>
          <w:rFonts w:ascii="Source Sans Pro" w:hAnsi="Source Sans Pro"/>
          <w:i/>
        </w:rPr>
        <w:t xml:space="preserve"> with current user charge levels</w:t>
      </w:r>
    </w:p>
    <w:p w14:paraId="49F0220A" w14:textId="77777777" w:rsidR="007B0458" w:rsidRPr="007B0458" w:rsidRDefault="007B0458" w:rsidP="00DD4944">
      <w:pPr>
        <w:pStyle w:val="Bullet-list"/>
        <w:numPr>
          <w:ilvl w:val="0"/>
          <w:numId w:val="21"/>
        </w:numPr>
        <w:shd w:val="clear" w:color="auto" w:fill="E2EFD9" w:themeFill="accent6" w:themeFillTint="33"/>
        <w:spacing w:after="120"/>
        <w:rPr>
          <w:rFonts w:ascii="Source Sans Pro" w:hAnsi="Source Sans Pro"/>
          <w:i/>
        </w:rPr>
      </w:pPr>
      <w:r w:rsidRPr="007B0458">
        <w:rPr>
          <w:rFonts w:ascii="Source Sans Pro" w:hAnsi="Source Sans Pro"/>
          <w:i/>
        </w:rPr>
        <w:t>Describe the existing cost recovery policy eg, what activities does it cover?</w:t>
      </w:r>
    </w:p>
    <w:p w14:paraId="1C56A59D" w14:textId="06DCF317" w:rsidR="007B0458" w:rsidRPr="007B0458" w:rsidRDefault="007B0458" w:rsidP="00DD4944">
      <w:pPr>
        <w:pStyle w:val="Bullet-list"/>
        <w:numPr>
          <w:ilvl w:val="0"/>
          <w:numId w:val="21"/>
        </w:numPr>
        <w:shd w:val="clear" w:color="auto" w:fill="E2EFD9" w:themeFill="accent6" w:themeFillTint="33"/>
        <w:spacing w:after="120"/>
        <w:rPr>
          <w:rFonts w:ascii="Source Sans Pro" w:hAnsi="Source Sans Pro"/>
          <w:i/>
        </w:rPr>
      </w:pPr>
      <w:r w:rsidRPr="007B0458">
        <w:rPr>
          <w:rFonts w:ascii="Source Sans Pro" w:hAnsi="Source Sans Pro"/>
          <w:i/>
        </w:rPr>
        <w:t>Where is the current schedule of charges located</w:t>
      </w:r>
      <w:r w:rsidR="00F65718">
        <w:rPr>
          <w:rFonts w:ascii="Source Sans Pro" w:hAnsi="Source Sans Pro"/>
          <w:i/>
        </w:rPr>
        <w:t xml:space="preserve"> (i.e. the current fees and </w:t>
      </w:r>
      <w:r w:rsidR="00136FA9">
        <w:rPr>
          <w:rFonts w:ascii="Source Sans Pro" w:hAnsi="Source Sans Pro"/>
          <w:i/>
        </w:rPr>
        <w:t>levies that are currently in place)</w:t>
      </w:r>
      <w:r w:rsidRPr="007B0458">
        <w:rPr>
          <w:rFonts w:ascii="Source Sans Pro" w:hAnsi="Source Sans Pro"/>
          <w:i/>
        </w:rPr>
        <w:t>?</w:t>
      </w:r>
    </w:p>
    <w:p w14:paraId="1652AEE8" w14:textId="0932F8B2" w:rsidR="00992CC1" w:rsidRPr="007B0458" w:rsidRDefault="007B0458" w:rsidP="00DD4944">
      <w:pPr>
        <w:pStyle w:val="Bullet-list"/>
        <w:numPr>
          <w:ilvl w:val="0"/>
          <w:numId w:val="21"/>
        </w:numPr>
        <w:shd w:val="clear" w:color="auto" w:fill="E2EFD9" w:themeFill="accent6" w:themeFillTint="33"/>
        <w:spacing w:after="120"/>
        <w:rPr>
          <w:rFonts w:ascii="Source Sans Pro" w:hAnsi="Source Sans Pro"/>
          <w:i/>
        </w:rPr>
      </w:pPr>
      <w:r w:rsidRPr="007B0458">
        <w:rPr>
          <w:rFonts w:ascii="Source Sans Pro" w:hAnsi="Source Sans Pro"/>
          <w:i/>
        </w:rPr>
        <w:t xml:space="preserve">Identify the problem(s) with carrying on under the status quo. </w:t>
      </w:r>
    </w:p>
    <w:p w14:paraId="5784EF8F" w14:textId="77777777" w:rsidR="007B0458" w:rsidRDefault="007B0458" w:rsidP="001432A2">
      <w:pPr>
        <w:rPr>
          <w:b/>
          <w:sz w:val="30"/>
          <w:szCs w:val="30"/>
        </w:rPr>
      </w:pPr>
    </w:p>
    <w:p w14:paraId="4EB47FA6" w14:textId="0DF50B30" w:rsidR="004B5F09" w:rsidRPr="00AC4C13" w:rsidRDefault="00DF6CD1" w:rsidP="00AC4C13">
      <w:pPr>
        <w:rPr>
          <w:b/>
          <w:sz w:val="30"/>
          <w:szCs w:val="30"/>
        </w:rPr>
      </w:pPr>
      <w:r w:rsidRPr="001432A2">
        <w:rPr>
          <w:b/>
          <w:sz w:val="30"/>
          <w:szCs w:val="30"/>
        </w:rPr>
        <w:t xml:space="preserve">Section 2: </w:t>
      </w:r>
      <w:r w:rsidR="007B0458">
        <w:rPr>
          <w:b/>
          <w:sz w:val="30"/>
          <w:szCs w:val="30"/>
        </w:rPr>
        <w:t>Cost recovery principles and objectives</w:t>
      </w:r>
    </w:p>
    <w:p w14:paraId="4FF1E32C" w14:textId="17EF3442" w:rsidR="00B20311" w:rsidRPr="000A1AF9" w:rsidRDefault="00B20311" w:rsidP="00B20311">
      <w:pPr>
        <w:pStyle w:val="Numberedparagraph"/>
        <w:rPr>
          <w:rFonts w:ascii="Source Sans Pro" w:hAnsi="Source Sans Pro"/>
        </w:rPr>
      </w:pPr>
      <w:r w:rsidRPr="000A1AF9">
        <w:rPr>
          <w:rFonts w:ascii="Source Sans Pro" w:hAnsi="Source Sans Pro"/>
        </w:rPr>
        <w:t>[enter text here – use the ‘Numbered paragraph’ style]</w:t>
      </w:r>
    </w:p>
    <w:p w14:paraId="0DA4E1EF" w14:textId="5060D306" w:rsidR="00B20311" w:rsidRPr="00023FAA" w:rsidRDefault="00B20311" w:rsidP="00023FAA">
      <w:pPr>
        <w:shd w:val="clear" w:color="auto" w:fill="C5E0B3" w:themeFill="accent6" w:themeFillTint="66"/>
        <w:rPr>
          <w:b/>
        </w:rPr>
      </w:pPr>
      <w:r w:rsidRPr="00023FAA">
        <w:rPr>
          <w:b/>
        </w:rPr>
        <w:t xml:space="preserve">Guidance for </w:t>
      </w:r>
      <w:r w:rsidR="007B0458">
        <w:rPr>
          <w:b/>
        </w:rPr>
        <w:t>this section</w:t>
      </w:r>
    </w:p>
    <w:p w14:paraId="3D074433" w14:textId="77777777" w:rsidR="007B0458" w:rsidRPr="007B0458" w:rsidRDefault="007B0458" w:rsidP="007B0458">
      <w:pPr>
        <w:shd w:val="clear" w:color="auto" w:fill="E2EFD9" w:themeFill="accent6" w:themeFillTint="33"/>
        <w:rPr>
          <w:i/>
          <w:iCs/>
          <w:lang w:val="en-AU"/>
        </w:rPr>
      </w:pPr>
      <w:r w:rsidRPr="007B0458">
        <w:rPr>
          <w:i/>
          <w:iCs/>
          <w:lang w:val="en-AU"/>
        </w:rPr>
        <w:t>See section 1.3 “Key considerations in cost recovery” in the Treasury’s ‘Guidelines for Setting Charges in the Public Sector’ for more information.</w:t>
      </w:r>
    </w:p>
    <w:p w14:paraId="209AFE5E" w14:textId="4D4D47F4" w:rsidR="007B0458" w:rsidRPr="004767F6" w:rsidRDefault="007B0458" w:rsidP="004767F6">
      <w:pPr>
        <w:pStyle w:val="Bullet-list"/>
        <w:numPr>
          <w:ilvl w:val="0"/>
          <w:numId w:val="20"/>
        </w:numPr>
        <w:shd w:val="clear" w:color="auto" w:fill="E2EFD9" w:themeFill="accent6" w:themeFillTint="33"/>
        <w:spacing w:after="120"/>
        <w:rPr>
          <w:rFonts w:ascii="Source Sans Pro" w:hAnsi="Source Sans Pro"/>
          <w:i/>
        </w:rPr>
      </w:pPr>
      <w:r w:rsidRPr="004767F6">
        <w:rPr>
          <w:rFonts w:ascii="Source Sans Pro" w:hAnsi="Source Sans Pro"/>
          <w:i/>
        </w:rPr>
        <w:t>What are the underlying principles that apply to and guide the cost recovery proposal? These principles should come from the Act that gives authority to cost recover and the OAG guidelines. A feasible option must meet the stated principles.</w:t>
      </w:r>
    </w:p>
    <w:p w14:paraId="751D156E" w14:textId="77777777" w:rsidR="007B0458" w:rsidRPr="004767F6" w:rsidRDefault="007B0458" w:rsidP="004767F6">
      <w:pPr>
        <w:pStyle w:val="Bullet-list"/>
        <w:numPr>
          <w:ilvl w:val="1"/>
          <w:numId w:val="20"/>
        </w:numPr>
        <w:shd w:val="clear" w:color="auto" w:fill="E2EFD9" w:themeFill="accent6" w:themeFillTint="33"/>
        <w:spacing w:after="120"/>
        <w:rPr>
          <w:rFonts w:ascii="Source Sans Pro" w:hAnsi="Source Sans Pro"/>
          <w:i/>
        </w:rPr>
      </w:pPr>
      <w:r w:rsidRPr="004767F6">
        <w:rPr>
          <w:rFonts w:ascii="Source Sans Pro" w:hAnsi="Source Sans Pro"/>
          <w:i/>
        </w:rPr>
        <w:t>The principles can be stated with a brief description of each provided. For example:</w:t>
      </w:r>
    </w:p>
    <w:p w14:paraId="556D2BDE" w14:textId="77777777" w:rsidR="000F717E" w:rsidRPr="004767F6" w:rsidRDefault="007B0458" w:rsidP="004767F6">
      <w:pPr>
        <w:pStyle w:val="Bullet-list"/>
        <w:numPr>
          <w:ilvl w:val="1"/>
          <w:numId w:val="20"/>
        </w:numPr>
        <w:shd w:val="clear" w:color="auto" w:fill="E2EFD9" w:themeFill="accent6" w:themeFillTint="33"/>
        <w:spacing w:after="120"/>
        <w:rPr>
          <w:rFonts w:ascii="Source Sans Pro" w:hAnsi="Source Sans Pro"/>
          <w:i/>
        </w:rPr>
      </w:pPr>
      <w:r w:rsidRPr="004767F6">
        <w:rPr>
          <w:rFonts w:ascii="Source Sans Pro" w:hAnsi="Source Sans Pro"/>
          <w:i/>
        </w:rPr>
        <w:t xml:space="preserve">Authority: A public entity must have legal authority to charge a fee and must operate within the scope of the empowering provision. </w:t>
      </w:r>
    </w:p>
    <w:p w14:paraId="68E0000F" w14:textId="161F9A3F" w:rsidR="007B0458" w:rsidRPr="004767F6" w:rsidRDefault="007B0458" w:rsidP="004767F6">
      <w:pPr>
        <w:pStyle w:val="Bullet-list"/>
        <w:numPr>
          <w:ilvl w:val="0"/>
          <w:numId w:val="20"/>
        </w:numPr>
        <w:shd w:val="clear" w:color="auto" w:fill="E2EFD9" w:themeFill="accent6" w:themeFillTint="33"/>
        <w:spacing w:after="120"/>
        <w:rPr>
          <w:rFonts w:ascii="Source Sans Pro" w:hAnsi="Source Sans Pro"/>
          <w:i/>
        </w:rPr>
      </w:pPr>
      <w:r w:rsidRPr="004767F6">
        <w:rPr>
          <w:rFonts w:ascii="Source Sans Pro" w:hAnsi="Source Sans Pro"/>
          <w:i/>
        </w:rPr>
        <w:t>Efficiency: The user charge should be no higher than necessary to produce a good or service to the desired level of quality. The design of the charge should incentivise efficiency ie, keeping costs down and the quality of the service high.</w:t>
      </w:r>
    </w:p>
    <w:p w14:paraId="746F4172" w14:textId="36124DEC" w:rsidR="007B0458" w:rsidRPr="004767F6" w:rsidRDefault="007B0458" w:rsidP="004767F6">
      <w:pPr>
        <w:pStyle w:val="Bullet-list"/>
        <w:numPr>
          <w:ilvl w:val="0"/>
          <w:numId w:val="20"/>
        </w:numPr>
        <w:shd w:val="clear" w:color="auto" w:fill="E2EFD9" w:themeFill="accent6" w:themeFillTint="33"/>
        <w:spacing w:after="120"/>
        <w:rPr>
          <w:rFonts w:ascii="Source Sans Pro" w:hAnsi="Source Sans Pro"/>
          <w:i/>
        </w:rPr>
      </w:pPr>
      <w:r w:rsidRPr="004767F6">
        <w:rPr>
          <w:rFonts w:ascii="Source Sans Pro" w:hAnsi="Source Sans Pro"/>
          <w:i/>
        </w:rPr>
        <w:lastRenderedPageBreak/>
        <w:t>What are the objectives of the cost recovery proposal? These objectives should be a combination of the Cost Recovery principles,</w:t>
      </w:r>
      <w:r w:rsidR="00BF2EAF">
        <w:rPr>
          <w:rFonts w:ascii="Source Sans Pro" w:hAnsi="Source Sans Pro"/>
          <w:i/>
        </w:rPr>
        <w:t xml:space="preserve"> the</w:t>
      </w:r>
      <w:r w:rsidRPr="004767F6">
        <w:rPr>
          <w:rFonts w:ascii="Source Sans Pro" w:hAnsi="Source Sans Pro"/>
          <w:i/>
        </w:rPr>
        <w:t xml:space="preserve"> intent of the policy that is being cost recovered and the objectives in the Treasury guidance. For example:</w:t>
      </w:r>
    </w:p>
    <w:p w14:paraId="6B2EB83C" w14:textId="77777777" w:rsidR="007B0458" w:rsidRPr="004767F6" w:rsidRDefault="007B0458" w:rsidP="004767F6">
      <w:pPr>
        <w:pStyle w:val="Bullet-list"/>
        <w:numPr>
          <w:ilvl w:val="1"/>
          <w:numId w:val="20"/>
        </w:numPr>
        <w:shd w:val="clear" w:color="auto" w:fill="E2EFD9" w:themeFill="accent6" w:themeFillTint="33"/>
        <w:spacing w:after="120"/>
        <w:rPr>
          <w:rFonts w:ascii="Source Sans Pro" w:hAnsi="Source Sans Pro"/>
          <w:i/>
        </w:rPr>
      </w:pPr>
      <w:r w:rsidRPr="004767F6">
        <w:rPr>
          <w:rFonts w:ascii="Source Sans Pro" w:hAnsi="Source Sans Pro"/>
          <w:i/>
        </w:rPr>
        <w:t xml:space="preserve">Equity (also described as fairness): The user charge is being paid by the appropriate people. Thought will have to be given to whether the risk exacerbator and/or the beneficiary pays for the good or service. </w:t>
      </w:r>
    </w:p>
    <w:p w14:paraId="7A5EBF84" w14:textId="77777777" w:rsidR="007B0458" w:rsidRPr="004767F6" w:rsidRDefault="007B0458" w:rsidP="004767F6">
      <w:pPr>
        <w:pStyle w:val="Bullet-list"/>
        <w:numPr>
          <w:ilvl w:val="1"/>
          <w:numId w:val="20"/>
        </w:numPr>
        <w:shd w:val="clear" w:color="auto" w:fill="E2EFD9" w:themeFill="accent6" w:themeFillTint="33"/>
        <w:spacing w:after="120"/>
        <w:rPr>
          <w:rFonts w:ascii="Source Sans Pro" w:hAnsi="Source Sans Pro"/>
          <w:i/>
        </w:rPr>
      </w:pPr>
      <w:r w:rsidRPr="004767F6">
        <w:rPr>
          <w:rFonts w:ascii="Source Sans Pro" w:hAnsi="Source Sans Pro"/>
          <w:i/>
        </w:rPr>
        <w:t xml:space="preserve">Maintain desired level of safety. The user charge needs to be at a level that will allow the regulator to fully carry out their functions and not undermine the safety of the regime (particularly relevant for safety inspection practices).  </w:t>
      </w:r>
    </w:p>
    <w:p w14:paraId="2FC447EB" w14:textId="29E190C2" w:rsidR="007B0458" w:rsidRPr="004767F6" w:rsidRDefault="007B0458" w:rsidP="004767F6">
      <w:pPr>
        <w:pStyle w:val="Bullet-list"/>
        <w:numPr>
          <w:ilvl w:val="0"/>
          <w:numId w:val="20"/>
        </w:numPr>
        <w:shd w:val="clear" w:color="auto" w:fill="E2EFD9" w:themeFill="accent6" w:themeFillTint="33"/>
        <w:spacing w:after="120"/>
        <w:rPr>
          <w:rFonts w:ascii="Source Sans Pro" w:hAnsi="Source Sans Pro"/>
          <w:i/>
        </w:rPr>
      </w:pPr>
      <w:r w:rsidRPr="004767F6">
        <w:rPr>
          <w:rFonts w:ascii="Source Sans Pro" w:hAnsi="Source Sans Pro"/>
          <w:i/>
        </w:rPr>
        <w:t xml:space="preserve">The objectives will be used to assess the selected option for effectiveness in the future. </w:t>
      </w:r>
      <w:r w:rsidRPr="007B0458">
        <w:rPr>
          <w:rFonts w:ascii="Source Sans Pro" w:hAnsi="Source Sans Pro"/>
          <w:i/>
        </w:rPr>
        <w:t xml:space="preserve"> </w:t>
      </w:r>
    </w:p>
    <w:p w14:paraId="5FCE2694" w14:textId="77777777" w:rsidR="00884EB1" w:rsidRDefault="00884EB1" w:rsidP="00474BF2">
      <w:pPr>
        <w:pStyle w:val="Numberedparagraph"/>
        <w:numPr>
          <w:ilvl w:val="0"/>
          <w:numId w:val="0"/>
        </w:numPr>
      </w:pPr>
    </w:p>
    <w:p w14:paraId="17EC40F5" w14:textId="35E4F8A1" w:rsidR="000F717E" w:rsidRPr="007B0458" w:rsidRDefault="000F717E" w:rsidP="000F717E">
      <w:pPr>
        <w:rPr>
          <w:b/>
          <w:sz w:val="30"/>
          <w:szCs w:val="30"/>
        </w:rPr>
      </w:pPr>
      <w:r w:rsidRPr="001432A2">
        <w:rPr>
          <w:b/>
          <w:sz w:val="30"/>
          <w:szCs w:val="30"/>
        </w:rPr>
        <w:t xml:space="preserve">Section </w:t>
      </w:r>
      <w:r>
        <w:rPr>
          <w:b/>
          <w:sz w:val="30"/>
          <w:szCs w:val="30"/>
        </w:rPr>
        <w:t>3</w:t>
      </w:r>
      <w:r w:rsidRPr="001432A2">
        <w:rPr>
          <w:b/>
          <w:sz w:val="30"/>
          <w:szCs w:val="30"/>
        </w:rPr>
        <w:t xml:space="preserve">: </w:t>
      </w:r>
      <w:r>
        <w:rPr>
          <w:b/>
          <w:sz w:val="30"/>
          <w:szCs w:val="30"/>
        </w:rPr>
        <w:t>Policy rationale – why a user charge? And what type is most appropriate?</w:t>
      </w:r>
    </w:p>
    <w:p w14:paraId="5D84A588" w14:textId="77777777" w:rsidR="000F717E" w:rsidRPr="000A1AF9" w:rsidRDefault="000F717E" w:rsidP="000F717E">
      <w:pPr>
        <w:pStyle w:val="Numberedparagraph"/>
      </w:pPr>
      <w:r w:rsidRPr="000A1AF9">
        <w:t>[enter text here – use the ‘Numbered paragraph’ style]</w:t>
      </w:r>
    </w:p>
    <w:p w14:paraId="4D5A2FE5" w14:textId="77777777" w:rsidR="000F717E" w:rsidRDefault="000F717E" w:rsidP="00474BF2">
      <w:pPr>
        <w:pStyle w:val="Numberedparagraph"/>
        <w:numPr>
          <w:ilvl w:val="0"/>
          <w:numId w:val="0"/>
        </w:numPr>
      </w:pPr>
    </w:p>
    <w:p w14:paraId="5546C96C" w14:textId="7C42780E" w:rsidR="00884EB1" w:rsidRPr="00023FAA" w:rsidRDefault="00884EB1" w:rsidP="00023FAA">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sidR="000F717E">
        <w:rPr>
          <w:rFonts w:ascii="Source Sans Pro" w:hAnsi="Source Sans Pro"/>
          <w:b/>
        </w:rPr>
        <w:t>this section</w:t>
      </w:r>
    </w:p>
    <w:p w14:paraId="6C072A94" w14:textId="77777777" w:rsidR="000F717E" w:rsidRDefault="000F717E" w:rsidP="00884EB1">
      <w:pPr>
        <w:pStyle w:val="Numberedparagraph"/>
        <w:numPr>
          <w:ilvl w:val="0"/>
          <w:numId w:val="0"/>
        </w:numPr>
        <w:shd w:val="clear" w:color="auto" w:fill="E2EFD9" w:themeFill="accent6" w:themeFillTint="33"/>
        <w:spacing w:after="0"/>
        <w:ind w:left="567" w:hanging="567"/>
        <w:rPr>
          <w:rFonts w:ascii="Source Sans Pro" w:hAnsi="Source Sans Pro"/>
          <w:i/>
        </w:rPr>
      </w:pPr>
      <w:r>
        <w:rPr>
          <w:rFonts w:ascii="Source Sans Pro" w:hAnsi="Source Sans Pro"/>
          <w:i/>
        </w:rPr>
        <w:t xml:space="preserve"> </w:t>
      </w:r>
    </w:p>
    <w:p w14:paraId="0CC0F67A" w14:textId="77777777" w:rsidR="000F717E" w:rsidRDefault="000F717E" w:rsidP="000F717E">
      <w:pPr>
        <w:pStyle w:val="Numberedparagraph"/>
        <w:numPr>
          <w:ilvl w:val="0"/>
          <w:numId w:val="0"/>
        </w:numPr>
        <w:shd w:val="clear" w:color="auto" w:fill="E2EFD9" w:themeFill="accent6" w:themeFillTint="33"/>
        <w:spacing w:after="0"/>
        <w:rPr>
          <w:rFonts w:ascii="Source Sans Pro" w:hAnsi="Source Sans Pro"/>
          <w:i/>
          <w:lang w:val="en-GB"/>
        </w:rPr>
      </w:pPr>
      <w:r w:rsidRPr="000F717E">
        <w:rPr>
          <w:rFonts w:ascii="Source Sans Pro" w:hAnsi="Source Sans Pro"/>
          <w:i/>
          <w:lang w:val="en-GB"/>
        </w:rPr>
        <w:t xml:space="preserve">See section 3 “The policy rationale for cost recovery” in the Treasury’s ‘Guidelines for Setting Charges in the Public Sector’ for more information. </w:t>
      </w:r>
    </w:p>
    <w:p w14:paraId="1279224B" w14:textId="77777777" w:rsidR="00B23F49" w:rsidRPr="000F717E" w:rsidRDefault="00B23F49" w:rsidP="000F717E">
      <w:pPr>
        <w:pStyle w:val="Numberedparagraph"/>
        <w:numPr>
          <w:ilvl w:val="0"/>
          <w:numId w:val="0"/>
        </w:numPr>
        <w:shd w:val="clear" w:color="auto" w:fill="E2EFD9" w:themeFill="accent6" w:themeFillTint="33"/>
        <w:spacing w:after="0"/>
        <w:rPr>
          <w:rFonts w:ascii="Source Sans Pro" w:hAnsi="Source Sans Pro"/>
          <w:i/>
          <w:lang w:val="en-GB"/>
        </w:rPr>
      </w:pPr>
    </w:p>
    <w:p w14:paraId="61BC5CCB"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Why is cost recovery appropriate for the activity (over and above the legal authority to charge) ie, why should it be third party funded rather than funded by the Crown?</w:t>
      </w:r>
    </w:p>
    <w:p w14:paraId="1240B39C"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What is the nature of output from the activity (the characteristics of the good or service) eg, public/private/club goods (see section 3.2 of Treasury guidelines)?</w:t>
      </w:r>
    </w:p>
    <w:p w14:paraId="573735AC"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Is full or partial cost recovery being proposed? What is the rationale for proposing full or partial cost recovery? </w:t>
      </w:r>
    </w:p>
    <w:p w14:paraId="7C12E4B1"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What type of charge is being proposed eg, fee, levy, hourly charge? What is the rationale behind selecting this type of charge?</w:t>
      </w:r>
    </w:p>
    <w:p w14:paraId="7BDC5900"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Who will pay the cost recovery charges? Include data on the number and size of businesses, individuals etc, if possible. </w:t>
      </w:r>
    </w:p>
    <w:p w14:paraId="7EBBF31E" w14:textId="38D968F7" w:rsidR="000F717E" w:rsidRPr="004767F6"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Assessment of proposed user charge against objectives. </w:t>
      </w:r>
    </w:p>
    <w:p w14:paraId="169A7493" w14:textId="77777777" w:rsidR="00DE2CDB" w:rsidRDefault="00DE2CDB" w:rsidP="00DE2CDB"/>
    <w:p w14:paraId="1FED9585" w14:textId="3E1B116B" w:rsidR="000F717E" w:rsidRPr="007B0458" w:rsidRDefault="000F717E" w:rsidP="000F717E">
      <w:pPr>
        <w:rPr>
          <w:b/>
          <w:sz w:val="30"/>
          <w:szCs w:val="30"/>
        </w:rPr>
      </w:pPr>
      <w:r w:rsidRPr="001432A2">
        <w:rPr>
          <w:b/>
          <w:sz w:val="30"/>
          <w:szCs w:val="30"/>
        </w:rPr>
        <w:t xml:space="preserve">Section </w:t>
      </w:r>
      <w:r>
        <w:rPr>
          <w:b/>
          <w:sz w:val="30"/>
          <w:szCs w:val="30"/>
        </w:rPr>
        <w:t>4</w:t>
      </w:r>
      <w:r w:rsidRPr="001432A2">
        <w:rPr>
          <w:b/>
          <w:sz w:val="30"/>
          <w:szCs w:val="30"/>
        </w:rPr>
        <w:t xml:space="preserve">: </w:t>
      </w:r>
      <w:r>
        <w:rPr>
          <w:b/>
          <w:sz w:val="30"/>
          <w:szCs w:val="30"/>
        </w:rPr>
        <w:t>The level of the proposed fee and its cost components (cost recovery model)</w:t>
      </w:r>
    </w:p>
    <w:p w14:paraId="788DDA51" w14:textId="77777777" w:rsidR="000F717E" w:rsidRPr="000A1AF9" w:rsidRDefault="000F717E" w:rsidP="000F717E">
      <w:pPr>
        <w:pStyle w:val="Numberedparagraph"/>
      </w:pPr>
      <w:r w:rsidRPr="000A1AF9">
        <w:t>[enter text here – use the ‘Numbered paragraph’ style]</w:t>
      </w:r>
    </w:p>
    <w:p w14:paraId="74FD4ECF" w14:textId="77777777" w:rsidR="000F717E" w:rsidRDefault="000F717E" w:rsidP="000F717E">
      <w:pPr>
        <w:pStyle w:val="Numberedparagraph"/>
        <w:numPr>
          <w:ilvl w:val="0"/>
          <w:numId w:val="0"/>
        </w:numPr>
      </w:pPr>
    </w:p>
    <w:p w14:paraId="34C53EEE"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6CD30924" w14:textId="77777777" w:rsidR="000F717E" w:rsidRPr="000F717E" w:rsidRDefault="000F717E" w:rsidP="004767F6">
      <w:pPr>
        <w:pStyle w:val="Numberedparagraph"/>
        <w:numPr>
          <w:ilvl w:val="0"/>
          <w:numId w:val="0"/>
        </w:numPr>
        <w:shd w:val="clear" w:color="auto" w:fill="E2EFD9" w:themeFill="accent6" w:themeFillTint="33"/>
        <w:spacing w:after="0"/>
        <w:rPr>
          <w:rFonts w:ascii="Source Sans Pro" w:hAnsi="Source Sans Pro"/>
          <w:i/>
          <w:lang w:val="en-GB"/>
        </w:rPr>
      </w:pPr>
    </w:p>
    <w:p w14:paraId="7BB17F4F" w14:textId="77129FF0" w:rsidR="000F717E" w:rsidRPr="004767F6"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4767F6">
        <w:rPr>
          <w:rFonts w:ascii="Source Sans Pro" w:hAnsi="Source Sans Pro"/>
          <w:i/>
        </w:rPr>
        <w:t xml:space="preserve">See section 5 “Bringing it all together - Design of cost recovery” in the Treasury’s ‘Guidelines for Setting Charges in the Public Sector’ for more information. </w:t>
      </w:r>
    </w:p>
    <w:p w14:paraId="636DE60B"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lastRenderedPageBreak/>
        <w:t>Design of cost recovery charges. What are the proposed charge levels? If this is a review, compare them to the current levels and have a column with the percentage change.</w:t>
      </w:r>
    </w:p>
    <w:p w14:paraId="0A1F2704"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Outputs and processes of the activity. What are the main cost drivers of the activity? ie, what are the outputs of the activity and the business processes that are used to produce those outputs?  This should be itemised and explained in a table or similar method (see figure 1.1 and figure 1.2 in annex for example).</w:t>
      </w:r>
    </w:p>
    <w:p w14:paraId="682870F5"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Costing the activity. Breakdown of the user charge, for example: direct costs eg, staff salaries (including on-costs, such as training, superannuation and leave) and indirect costs eg, salaries of staff in corporate roles such as finance and human resources, (see figure 1.3 in annex for example).</w:t>
      </w:r>
    </w:p>
    <w:p w14:paraId="72826328"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Present forecast total revenue, ideally over the first three year (see figure 1.4 in annex for example). If this is a review existing revenue information should also be provided.</w:t>
      </w:r>
    </w:p>
    <w:p w14:paraId="0F22F4EA" w14:textId="77777777"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Present estimates of expenses and revenue for the activity. The estimates should illustrate the potential for revenue and expenses to align. </w:t>
      </w:r>
    </w:p>
    <w:p w14:paraId="4B1A6064" w14:textId="77777777" w:rsid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Discuss how changes in the underlying assumptions will affect financial estimates. </w:t>
      </w:r>
    </w:p>
    <w:p w14:paraId="78D32A25" w14:textId="74D78AFC" w:rsidR="000F717E" w:rsidRPr="000F717E" w:rsidRDefault="000F717E" w:rsidP="004767F6">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If this proposal is a review and an increase in user charges is proposed, is pursuing options for efficiency/productivity improvements, or making changes to levels of expected service delivery, or vary the expected memorandum account balance, without any change in fee levels a feasible option? </w:t>
      </w:r>
    </w:p>
    <w:p w14:paraId="0E0C0150" w14:textId="4DF0BCAF"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p>
    <w:p w14:paraId="576DC228" w14:textId="77777777" w:rsidR="000F717E" w:rsidRDefault="000F717E" w:rsidP="000F717E">
      <w:pPr>
        <w:rPr>
          <w:b/>
          <w:sz w:val="30"/>
          <w:szCs w:val="30"/>
        </w:rPr>
      </w:pPr>
    </w:p>
    <w:p w14:paraId="54A366D6" w14:textId="0E6843AA" w:rsidR="000F717E" w:rsidRPr="007B0458" w:rsidRDefault="000F717E" w:rsidP="000F717E">
      <w:pPr>
        <w:rPr>
          <w:b/>
          <w:sz w:val="30"/>
          <w:szCs w:val="30"/>
        </w:rPr>
      </w:pPr>
      <w:r w:rsidRPr="001432A2">
        <w:rPr>
          <w:b/>
          <w:sz w:val="30"/>
          <w:szCs w:val="30"/>
        </w:rPr>
        <w:t xml:space="preserve">Section </w:t>
      </w:r>
      <w:r>
        <w:rPr>
          <w:b/>
          <w:sz w:val="30"/>
          <w:szCs w:val="30"/>
        </w:rPr>
        <w:t>5</w:t>
      </w:r>
      <w:r w:rsidRPr="001432A2">
        <w:rPr>
          <w:b/>
          <w:sz w:val="30"/>
          <w:szCs w:val="30"/>
        </w:rPr>
        <w:t xml:space="preserve">: </w:t>
      </w:r>
      <w:r>
        <w:rPr>
          <w:b/>
          <w:sz w:val="30"/>
          <w:szCs w:val="30"/>
        </w:rPr>
        <w:t>Impact Analysis</w:t>
      </w:r>
    </w:p>
    <w:p w14:paraId="1BAD05A6" w14:textId="77777777" w:rsidR="000F717E" w:rsidRPr="000A1AF9" w:rsidRDefault="000F717E" w:rsidP="00F85B6A">
      <w:pPr>
        <w:pStyle w:val="Numberedparagraph"/>
      </w:pPr>
      <w:r w:rsidRPr="000A1AF9">
        <w:t>[enter text here – use the ‘Numbered paragraph’ style]</w:t>
      </w:r>
    </w:p>
    <w:tbl>
      <w:tblPr>
        <w:tblStyle w:val="TableGrid"/>
        <w:tblW w:w="0" w:type="auto"/>
        <w:tblLook w:val="04A0" w:firstRow="1" w:lastRow="0" w:firstColumn="1" w:lastColumn="0" w:noHBand="0" w:noVBand="1"/>
      </w:tblPr>
      <w:tblGrid>
        <w:gridCol w:w="9016"/>
      </w:tblGrid>
      <w:tr w:rsidR="00F74268" w:rsidRPr="000A1AF9" w14:paraId="60EC0FFC" w14:textId="77777777" w:rsidTr="004D7B7C">
        <w:trPr>
          <w:trHeight w:val="993"/>
        </w:trPr>
        <w:tc>
          <w:tcPr>
            <w:tcW w:w="9016" w:type="dxa"/>
            <w:tcBorders>
              <w:top w:val="nil"/>
              <w:left w:val="nil"/>
              <w:bottom w:val="nil"/>
              <w:right w:val="nil"/>
            </w:tcBorders>
            <w:shd w:val="clear" w:color="auto" w:fill="FFD966" w:themeFill="accent4" w:themeFillTint="99"/>
            <w:vAlign w:val="center"/>
          </w:tcPr>
          <w:p w14:paraId="60D1851A" w14:textId="2CED4B3D" w:rsidR="00F74268" w:rsidRPr="000A1AF9" w:rsidRDefault="00F74268" w:rsidP="004D7B7C">
            <w:pPr>
              <w:jc w:val="center"/>
              <w:rPr>
                <w:rFonts w:ascii="Source Sans Pro" w:hAnsi="Source Sans Pro"/>
                <w:b/>
                <w:bCs/>
              </w:rPr>
            </w:pPr>
            <w:r>
              <w:rPr>
                <w:rFonts w:ascii="Source Sans Pro" w:hAnsi="Source Sans Pro"/>
                <w:b/>
                <w:bCs/>
              </w:rPr>
              <w:t>R</w:t>
            </w:r>
            <w:r w:rsidRPr="000A1AF9">
              <w:rPr>
                <w:rFonts w:ascii="Source Sans Pro" w:hAnsi="Source Sans Pro"/>
                <w:b/>
                <w:bCs/>
              </w:rPr>
              <w:t>efer to the principle</w:t>
            </w:r>
            <w:r>
              <w:rPr>
                <w:rFonts w:ascii="Source Sans Pro" w:hAnsi="Source Sans Pro"/>
                <w:b/>
                <w:bCs/>
              </w:rPr>
              <w:t>s</w:t>
            </w:r>
            <w:r w:rsidRPr="000A1AF9">
              <w:rPr>
                <w:rFonts w:ascii="Source Sans Pro" w:hAnsi="Source Sans Pro"/>
                <w:b/>
                <w:bCs/>
              </w:rPr>
              <w:t xml:space="preserve"> in </w:t>
            </w:r>
            <w:r>
              <w:rPr>
                <w:rFonts w:ascii="Source Sans Pro" w:hAnsi="Source Sans Pro"/>
                <w:b/>
                <w:bCs/>
              </w:rPr>
              <w:t>section 9 of</w:t>
            </w:r>
            <w:r w:rsidRPr="000A1AF9">
              <w:rPr>
                <w:rFonts w:ascii="Source Sans Pro" w:hAnsi="Source Sans Pro"/>
                <w:b/>
                <w:bCs/>
              </w:rPr>
              <w:t xml:space="preserve"> the Regulatory Standards Act</w:t>
            </w:r>
            <w:r>
              <w:rPr>
                <w:rFonts w:ascii="Source Sans Pro" w:hAnsi="Source Sans Pro"/>
                <w:b/>
                <w:bCs/>
              </w:rPr>
              <w:t>, including sections 9(d)-(f) relating to taxes, fees, and levies.</w:t>
            </w:r>
          </w:p>
        </w:tc>
      </w:tr>
    </w:tbl>
    <w:p w14:paraId="57BE65FA" w14:textId="77777777" w:rsidR="000F717E" w:rsidRDefault="000F717E" w:rsidP="000F717E">
      <w:pPr>
        <w:pStyle w:val="Numberedparagraph"/>
        <w:numPr>
          <w:ilvl w:val="0"/>
          <w:numId w:val="0"/>
        </w:numPr>
      </w:pPr>
    </w:p>
    <w:p w14:paraId="3E5B1C42"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3F9190EE" w14:textId="77777777" w:rsidR="000F717E" w:rsidRDefault="000F717E" w:rsidP="000F717E">
      <w:pPr>
        <w:pStyle w:val="Numberedparagraph"/>
        <w:numPr>
          <w:ilvl w:val="0"/>
          <w:numId w:val="0"/>
        </w:numPr>
        <w:shd w:val="clear" w:color="auto" w:fill="E2EFD9" w:themeFill="accent6" w:themeFillTint="33"/>
        <w:spacing w:after="0"/>
        <w:rPr>
          <w:rFonts w:ascii="Source Sans Pro" w:hAnsi="Source Sans Pro"/>
          <w:i/>
          <w:lang w:val="en-GB"/>
        </w:rPr>
      </w:pPr>
    </w:p>
    <w:p w14:paraId="30CE8875" w14:textId="12075D43" w:rsidR="000F717E" w:rsidRDefault="000F717E" w:rsidP="000F717E">
      <w:pPr>
        <w:pStyle w:val="Numberedparagraph"/>
        <w:numPr>
          <w:ilvl w:val="0"/>
          <w:numId w:val="0"/>
        </w:numPr>
        <w:shd w:val="clear" w:color="auto" w:fill="E2EFD9" w:themeFill="accent6" w:themeFillTint="33"/>
        <w:spacing w:after="0"/>
        <w:rPr>
          <w:rFonts w:ascii="Source Sans Pro" w:hAnsi="Source Sans Pro"/>
          <w:i/>
          <w:lang w:val="en-GB"/>
        </w:rPr>
      </w:pPr>
      <w:r w:rsidRPr="000F717E">
        <w:rPr>
          <w:rFonts w:ascii="Source Sans Pro" w:hAnsi="Source Sans Pro"/>
          <w:i/>
          <w:lang w:val="en-GB"/>
        </w:rPr>
        <w:t xml:space="preserve">See section 3.4 “Impacts and incentives in cost recovery regimes” in the Treasury’s ‘Guidelines for Setting Charges in the Public Sector’ for more information. </w:t>
      </w:r>
    </w:p>
    <w:p w14:paraId="01B08B37" w14:textId="77777777" w:rsidR="000F717E" w:rsidRPr="000F717E" w:rsidRDefault="000F717E" w:rsidP="000F717E">
      <w:pPr>
        <w:pStyle w:val="Numberedparagraph"/>
        <w:numPr>
          <w:ilvl w:val="0"/>
          <w:numId w:val="0"/>
        </w:numPr>
        <w:shd w:val="clear" w:color="auto" w:fill="E2EFD9" w:themeFill="accent6" w:themeFillTint="33"/>
        <w:spacing w:after="0"/>
        <w:rPr>
          <w:rFonts w:ascii="Source Sans Pro" w:hAnsi="Source Sans Pro"/>
          <w:i/>
          <w:lang w:val="en-GB"/>
        </w:rPr>
      </w:pPr>
    </w:p>
    <w:p w14:paraId="7E55C7F1" w14:textId="77777777"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What is the impact of the proposed fee? How many people, businesses etc. will be effected? What is the change in cost they will face?</w:t>
      </w:r>
    </w:p>
    <w:p w14:paraId="3BE467C8" w14:textId="77777777"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Impacts/risks on the regulator eg, service performance risks. </w:t>
      </w:r>
    </w:p>
    <w:p w14:paraId="446E279E" w14:textId="77777777"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Expected effects on demand for services.</w:t>
      </w:r>
    </w:p>
    <w:p w14:paraId="50F2A892" w14:textId="77777777" w:rsid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What is the evidence that the cost recovery arrangements are reasonable? Eg, comparison to privately provided services or an international comparison if feasible (see figure 1.5 in annex for example).  </w:t>
      </w:r>
    </w:p>
    <w:p w14:paraId="3658D1E1" w14:textId="1E64E71D" w:rsidR="00A66811" w:rsidRPr="000F717E" w:rsidRDefault="00A66811" w:rsidP="00472F5D">
      <w:pPr>
        <w:pStyle w:val="Bullet-list"/>
        <w:numPr>
          <w:ilvl w:val="0"/>
          <w:numId w:val="20"/>
        </w:numPr>
        <w:shd w:val="clear" w:color="auto" w:fill="E2EFD9" w:themeFill="accent6" w:themeFillTint="33"/>
        <w:spacing w:after="120"/>
        <w:rPr>
          <w:rFonts w:ascii="Source Sans Pro" w:hAnsi="Source Sans Pro"/>
          <w:i/>
        </w:rPr>
      </w:pPr>
      <w:r w:rsidRPr="00A66811">
        <w:rPr>
          <w:rFonts w:ascii="Source Sans Pro" w:hAnsi="Source Sans Pro"/>
          <w:i/>
        </w:rPr>
        <w:lastRenderedPageBreak/>
        <w:t>Have any potential inconsistencies with the principles of responsible regulation in the Regulatory Standards Act been identified with the cost recovery proposal, including sections 9(d)-(f) relating to taxes, fees, and levies?</w:t>
      </w:r>
    </w:p>
    <w:p w14:paraId="4857F428" w14:textId="0839D085"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p>
    <w:p w14:paraId="51721071" w14:textId="45215B8A" w:rsidR="000F717E" w:rsidRPr="007F7323" w:rsidRDefault="00EF3E86" w:rsidP="00DE2CDB">
      <w:pPr>
        <w:rPr>
          <w:rFonts w:ascii="Source Sans Pro" w:hAnsi="Source Sans Pro"/>
        </w:rPr>
      </w:pPr>
      <w:r w:rsidRPr="000A1AF9">
        <w:rPr>
          <w:rFonts w:ascii="Source Sans Pro" w:hAnsi="Source Sans Pro"/>
          <w:i/>
        </w:rPr>
        <w:t xml:space="preserve">For more information on the </w:t>
      </w:r>
      <w:r w:rsidR="00AF261A">
        <w:rPr>
          <w:rFonts w:ascii="Source Sans Pro" w:hAnsi="Source Sans Pro"/>
          <w:i/>
        </w:rPr>
        <w:t>taxes, fees and levies principles</w:t>
      </w:r>
      <w:r>
        <w:rPr>
          <w:rFonts w:ascii="Source Sans Pro" w:hAnsi="Source Sans Pro"/>
          <w:i/>
        </w:rPr>
        <w:t>,</w:t>
      </w:r>
      <w:r w:rsidRPr="000A1AF9">
        <w:rPr>
          <w:rFonts w:ascii="Source Sans Pro" w:hAnsi="Source Sans Pro"/>
          <w:i/>
        </w:rPr>
        <w:t xml:space="preserve"> refer</w:t>
      </w:r>
      <w:r>
        <w:rPr>
          <w:rFonts w:ascii="Source Sans Pro" w:hAnsi="Source Sans Pro"/>
          <w:i/>
        </w:rPr>
        <w:t xml:space="preserve"> to</w:t>
      </w:r>
      <w:r w:rsidRPr="000A1AF9">
        <w:rPr>
          <w:rFonts w:ascii="Source Sans Pro" w:hAnsi="Source Sans Pro"/>
          <w:i/>
        </w:rPr>
        <w:t xml:space="preserve"> </w:t>
      </w:r>
      <w:hyperlink r:id="rId16" w:history="1">
        <w:r w:rsidRPr="006E7681">
          <w:rPr>
            <w:rStyle w:val="Hyperlink"/>
            <w:rFonts w:ascii="Source Sans Pro" w:hAnsi="Source Sans Pro"/>
            <w:i/>
          </w:rPr>
          <w:t>Guidance issued under section 26 of the Regulatory Standards Act 2025.</w:t>
        </w:r>
      </w:hyperlink>
    </w:p>
    <w:p w14:paraId="6975461B" w14:textId="76F28A62" w:rsidR="000F717E" w:rsidRPr="007B0458" w:rsidRDefault="000F717E" w:rsidP="000F717E">
      <w:pPr>
        <w:rPr>
          <w:b/>
          <w:sz w:val="30"/>
          <w:szCs w:val="30"/>
        </w:rPr>
      </w:pPr>
      <w:r w:rsidRPr="001432A2">
        <w:rPr>
          <w:b/>
          <w:sz w:val="30"/>
          <w:szCs w:val="30"/>
        </w:rPr>
        <w:t xml:space="preserve">Section </w:t>
      </w:r>
      <w:r>
        <w:rPr>
          <w:b/>
          <w:sz w:val="30"/>
          <w:szCs w:val="30"/>
        </w:rPr>
        <w:t>6</w:t>
      </w:r>
      <w:r w:rsidRPr="001432A2">
        <w:rPr>
          <w:b/>
          <w:sz w:val="30"/>
          <w:szCs w:val="30"/>
        </w:rPr>
        <w:t xml:space="preserve">: </w:t>
      </w:r>
      <w:r>
        <w:rPr>
          <w:b/>
          <w:sz w:val="30"/>
          <w:szCs w:val="30"/>
        </w:rPr>
        <w:t>Consultation</w:t>
      </w:r>
    </w:p>
    <w:p w14:paraId="530F621C" w14:textId="77777777" w:rsidR="000F717E" w:rsidRPr="000A1AF9" w:rsidRDefault="000F717E" w:rsidP="00F85B6A">
      <w:pPr>
        <w:pStyle w:val="Numberedparagraph"/>
      </w:pPr>
      <w:r w:rsidRPr="000A1AF9">
        <w:t>[enter text here – use the ‘Numbered paragraph’ style]</w:t>
      </w:r>
    </w:p>
    <w:p w14:paraId="1033A005" w14:textId="77777777" w:rsidR="000F717E" w:rsidRDefault="000F717E" w:rsidP="000F717E">
      <w:pPr>
        <w:pStyle w:val="Numberedparagraph"/>
        <w:numPr>
          <w:ilvl w:val="0"/>
          <w:numId w:val="0"/>
        </w:numPr>
      </w:pPr>
    </w:p>
    <w:p w14:paraId="278E9D1C"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252E04FA" w14:textId="77777777"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r>
        <w:rPr>
          <w:rFonts w:ascii="Source Sans Pro" w:hAnsi="Source Sans Pro"/>
          <w:i/>
        </w:rPr>
        <w:t xml:space="preserve"> </w:t>
      </w:r>
    </w:p>
    <w:p w14:paraId="0ED08CC1" w14:textId="77777777" w:rsidR="000F717E" w:rsidRDefault="000F717E" w:rsidP="000F717E">
      <w:pPr>
        <w:pStyle w:val="Numberedparagraph"/>
        <w:numPr>
          <w:ilvl w:val="0"/>
          <w:numId w:val="0"/>
        </w:numPr>
        <w:shd w:val="clear" w:color="auto" w:fill="E2EFD9" w:themeFill="accent6" w:themeFillTint="33"/>
        <w:spacing w:after="0"/>
        <w:rPr>
          <w:rFonts w:ascii="Source Sans Pro" w:hAnsi="Source Sans Pro"/>
          <w:i/>
          <w:lang w:val="en-GB"/>
        </w:rPr>
      </w:pPr>
      <w:r w:rsidRPr="000F717E">
        <w:rPr>
          <w:rFonts w:ascii="Source Sans Pro" w:hAnsi="Source Sans Pro"/>
          <w:i/>
          <w:lang w:val="en-GB"/>
        </w:rPr>
        <w:t xml:space="preserve">See section 2.5 “Consultation approach” of the Treasury’s Regulatory Impact Analysis handbook for more information. </w:t>
      </w:r>
    </w:p>
    <w:p w14:paraId="7FAFEA16" w14:textId="77777777" w:rsidR="00B23F49" w:rsidRPr="000F717E" w:rsidRDefault="00B23F49" w:rsidP="000F717E">
      <w:pPr>
        <w:pStyle w:val="Numberedparagraph"/>
        <w:numPr>
          <w:ilvl w:val="0"/>
          <w:numId w:val="0"/>
        </w:numPr>
        <w:shd w:val="clear" w:color="auto" w:fill="E2EFD9" w:themeFill="accent6" w:themeFillTint="33"/>
        <w:spacing w:after="0"/>
        <w:rPr>
          <w:rFonts w:ascii="Source Sans Pro" w:hAnsi="Source Sans Pro"/>
          <w:i/>
          <w:lang w:val="en-GB"/>
        </w:rPr>
      </w:pPr>
    </w:p>
    <w:p w14:paraId="71B46F26" w14:textId="77777777"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 xml:space="preserve">Explain who has been consulted, what form the consultation took and what options were canvassed. </w:t>
      </w:r>
    </w:p>
    <w:p w14:paraId="3218F6FF" w14:textId="77777777"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Outline key feedback received, with particular emphasis on any significant concerns that were raised about the preferred option and how the proposal has been altered to address these concerns (or if not, why not).</w:t>
      </w:r>
    </w:p>
    <w:p w14:paraId="02C86796" w14:textId="43C56046" w:rsidR="000F717E" w:rsidRPr="000F717E" w:rsidRDefault="000F717E" w:rsidP="00472F5D">
      <w:pPr>
        <w:pStyle w:val="Bullet-list"/>
        <w:numPr>
          <w:ilvl w:val="0"/>
          <w:numId w:val="20"/>
        </w:numPr>
        <w:shd w:val="clear" w:color="auto" w:fill="E2EFD9" w:themeFill="accent6" w:themeFillTint="33"/>
        <w:spacing w:after="120"/>
        <w:rPr>
          <w:rFonts w:ascii="Source Sans Pro" w:hAnsi="Source Sans Pro"/>
          <w:i/>
        </w:rPr>
      </w:pPr>
      <w:r w:rsidRPr="000F717E">
        <w:rPr>
          <w:rFonts w:ascii="Source Sans Pro" w:hAnsi="Source Sans Pro"/>
          <w:i/>
        </w:rPr>
        <w:t>If there was limited or no consultation undertaken, the reasons why should be explained.</w:t>
      </w:r>
    </w:p>
    <w:p w14:paraId="443FAE3D" w14:textId="77777777" w:rsidR="000F717E" w:rsidRDefault="000F717E" w:rsidP="00472F5D">
      <w:pPr>
        <w:pStyle w:val="Bullet-list"/>
        <w:numPr>
          <w:ilvl w:val="0"/>
          <w:numId w:val="0"/>
        </w:numPr>
        <w:shd w:val="clear" w:color="auto" w:fill="E2EFD9" w:themeFill="accent6" w:themeFillTint="33"/>
        <w:spacing w:after="120"/>
        <w:rPr>
          <w:rFonts w:ascii="Source Sans Pro" w:hAnsi="Source Sans Pro"/>
          <w:i/>
        </w:rPr>
      </w:pPr>
    </w:p>
    <w:p w14:paraId="5EA48AFF" w14:textId="77777777" w:rsidR="000F717E" w:rsidRDefault="000F717E" w:rsidP="00DE2CDB"/>
    <w:p w14:paraId="35C977E2" w14:textId="1271A35D" w:rsidR="000F717E" w:rsidRPr="007B0458" w:rsidRDefault="000F717E" w:rsidP="000F717E">
      <w:pPr>
        <w:rPr>
          <w:b/>
          <w:sz w:val="30"/>
          <w:szCs w:val="30"/>
        </w:rPr>
      </w:pPr>
      <w:r w:rsidRPr="001432A2">
        <w:rPr>
          <w:b/>
          <w:sz w:val="30"/>
          <w:szCs w:val="30"/>
        </w:rPr>
        <w:t xml:space="preserve">Section </w:t>
      </w:r>
      <w:r>
        <w:rPr>
          <w:b/>
          <w:sz w:val="30"/>
          <w:szCs w:val="30"/>
        </w:rPr>
        <w:t>7</w:t>
      </w:r>
      <w:r w:rsidRPr="001432A2">
        <w:rPr>
          <w:b/>
          <w:sz w:val="30"/>
          <w:szCs w:val="30"/>
        </w:rPr>
        <w:t xml:space="preserve">: </w:t>
      </w:r>
      <w:r>
        <w:rPr>
          <w:b/>
          <w:sz w:val="30"/>
          <w:szCs w:val="30"/>
        </w:rPr>
        <w:t>Conclusions and recommendations</w:t>
      </w:r>
    </w:p>
    <w:p w14:paraId="0D08F917" w14:textId="77777777" w:rsidR="000F717E" w:rsidRPr="000A1AF9" w:rsidRDefault="000F717E" w:rsidP="00F85B6A">
      <w:pPr>
        <w:pStyle w:val="Numberedparagraph"/>
      </w:pPr>
      <w:r w:rsidRPr="000A1AF9">
        <w:t>[enter text here – use the ‘Numbered paragraph’ style]</w:t>
      </w:r>
    </w:p>
    <w:p w14:paraId="2C488E9F" w14:textId="77777777" w:rsidR="000F717E" w:rsidRDefault="000F717E" w:rsidP="000F717E">
      <w:pPr>
        <w:pStyle w:val="Numberedparagraph"/>
        <w:numPr>
          <w:ilvl w:val="0"/>
          <w:numId w:val="0"/>
        </w:numPr>
      </w:pPr>
    </w:p>
    <w:p w14:paraId="76942421"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599B417F" w14:textId="77777777" w:rsidR="00B23F49" w:rsidRDefault="00B23F49" w:rsidP="00B23F49">
      <w:pPr>
        <w:pStyle w:val="Numberedparagraph"/>
        <w:numPr>
          <w:ilvl w:val="0"/>
          <w:numId w:val="0"/>
        </w:numPr>
        <w:shd w:val="clear" w:color="auto" w:fill="E2EFD9" w:themeFill="accent6" w:themeFillTint="33"/>
        <w:spacing w:after="0"/>
        <w:ind w:left="360" w:hanging="360"/>
        <w:rPr>
          <w:rFonts w:ascii="Source Sans Pro" w:hAnsi="Source Sans Pro"/>
          <w:i/>
          <w:lang w:val="en-AU"/>
        </w:rPr>
      </w:pPr>
    </w:p>
    <w:p w14:paraId="47C16994" w14:textId="6D2C5A90" w:rsidR="00B23F49" w:rsidRPr="00B23F49" w:rsidRDefault="00B23F49" w:rsidP="00CB4BE2">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Summarise and present the cost recovery proposal.</w:t>
      </w:r>
    </w:p>
    <w:p w14:paraId="61FC2D6D" w14:textId="77777777" w:rsidR="00B23F49" w:rsidRPr="00B23F49" w:rsidRDefault="00B23F49" w:rsidP="00CB4BE2">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It is not mandatory for an agency to recommend or reject a particular option.  But where an agency does so, it should explain and justify their recommendation in the RIS.</w:t>
      </w:r>
    </w:p>
    <w:p w14:paraId="2C3AF2F0" w14:textId="2267A68F"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p>
    <w:p w14:paraId="7CBE90E4" w14:textId="77777777" w:rsidR="000F717E" w:rsidRDefault="000F717E" w:rsidP="00DE2CDB"/>
    <w:p w14:paraId="4C997FEF" w14:textId="5917B6F8" w:rsidR="000F717E" w:rsidRPr="007B0458" w:rsidRDefault="000F717E" w:rsidP="000F717E">
      <w:pPr>
        <w:rPr>
          <w:b/>
          <w:sz w:val="30"/>
          <w:szCs w:val="30"/>
        </w:rPr>
      </w:pPr>
      <w:r w:rsidRPr="001432A2">
        <w:rPr>
          <w:b/>
          <w:sz w:val="30"/>
          <w:szCs w:val="30"/>
        </w:rPr>
        <w:t xml:space="preserve">Section </w:t>
      </w:r>
      <w:r>
        <w:rPr>
          <w:b/>
          <w:sz w:val="30"/>
          <w:szCs w:val="30"/>
        </w:rPr>
        <w:t>8</w:t>
      </w:r>
      <w:r w:rsidRPr="001432A2">
        <w:rPr>
          <w:b/>
          <w:sz w:val="30"/>
          <w:szCs w:val="30"/>
        </w:rPr>
        <w:t xml:space="preserve">: </w:t>
      </w:r>
      <w:r>
        <w:rPr>
          <w:b/>
          <w:sz w:val="30"/>
          <w:szCs w:val="30"/>
        </w:rPr>
        <w:t>Implementation plan</w:t>
      </w:r>
    </w:p>
    <w:p w14:paraId="37CDC2CD" w14:textId="77777777" w:rsidR="000F717E" w:rsidRPr="000A1AF9" w:rsidRDefault="000F717E" w:rsidP="00F85B6A">
      <w:pPr>
        <w:pStyle w:val="Numberedparagraph"/>
      </w:pPr>
      <w:r w:rsidRPr="000A1AF9">
        <w:t>[enter text here – use the ‘Numbered paragraph’ style]</w:t>
      </w:r>
    </w:p>
    <w:p w14:paraId="6BB6F72E" w14:textId="77777777" w:rsidR="000F717E" w:rsidRDefault="000F717E" w:rsidP="000F717E">
      <w:pPr>
        <w:pStyle w:val="Numberedparagraph"/>
        <w:numPr>
          <w:ilvl w:val="0"/>
          <w:numId w:val="0"/>
        </w:numPr>
      </w:pPr>
    </w:p>
    <w:p w14:paraId="65358F34"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565C4011" w14:textId="77777777" w:rsid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p>
    <w:p w14:paraId="3CD50E18" w14:textId="5A17992D" w:rsid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r w:rsidRPr="00B23F49">
        <w:rPr>
          <w:rFonts w:ascii="Source Sans Pro" w:hAnsi="Source Sans Pro"/>
          <w:i/>
          <w:lang w:val="en-GB"/>
        </w:rPr>
        <w:t xml:space="preserve">See section 6 “Implementation, monitoring and managing cost recovery regimes” in the Treasury’s ‘Guidelines for Setting Charges in the Public Sector’ for more information. </w:t>
      </w:r>
    </w:p>
    <w:p w14:paraId="44DE9245" w14:textId="77777777" w:rsidR="00B23F49" w:rsidRP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p>
    <w:p w14:paraId="548A90A6" w14:textId="77777777" w:rsidR="00B23F49" w:rsidRPr="00B23F49" w:rsidRDefault="00B23F49" w:rsidP="00522CB4">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Summarise how the proposed option(s) will be given effect, including transitional arrangements.</w:t>
      </w:r>
    </w:p>
    <w:p w14:paraId="62DC19A7" w14:textId="77777777" w:rsidR="00B23F49" w:rsidRPr="00B23F49" w:rsidRDefault="00B23F49" w:rsidP="00522CB4">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Describe how implementation risks will be being mitigated.</w:t>
      </w:r>
    </w:p>
    <w:p w14:paraId="30D10458" w14:textId="77777777" w:rsidR="00B23F49" w:rsidRPr="00B23F49" w:rsidRDefault="00B23F49" w:rsidP="00522CB4">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Describe the steps that are being taken to minimise compliance costs.</w:t>
      </w:r>
    </w:p>
    <w:p w14:paraId="5DA0744A" w14:textId="77777777" w:rsidR="00B23F49" w:rsidRPr="00B23F49" w:rsidRDefault="00B23F49" w:rsidP="00522CB4">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Describe how the proposal would interact with, or impact on, existing regulation, including whether there is scope to reduce or remove any existing regulations.</w:t>
      </w:r>
    </w:p>
    <w:p w14:paraId="52C3A285" w14:textId="4ECF8122" w:rsidR="000F717E" w:rsidRPr="009D28FE" w:rsidRDefault="00B23F49" w:rsidP="009D28FE">
      <w:pPr>
        <w:pStyle w:val="Bullet-list"/>
        <w:numPr>
          <w:ilvl w:val="0"/>
          <w:numId w:val="20"/>
        </w:numPr>
        <w:shd w:val="clear" w:color="auto" w:fill="E2EFD9" w:themeFill="accent6" w:themeFillTint="33"/>
        <w:spacing w:after="120"/>
        <w:rPr>
          <w:rFonts w:ascii="Source Sans Pro" w:hAnsi="Source Sans Pro"/>
          <w:i/>
        </w:rPr>
      </w:pPr>
      <w:r w:rsidRPr="00B23F49">
        <w:rPr>
          <w:rFonts w:ascii="Source Sans Pro" w:hAnsi="Source Sans Pro"/>
          <w:i/>
        </w:rPr>
        <w:t>Outline the enforcement strategy that will be implemented to ensure that the preferred option achieves its public policy objectives.</w:t>
      </w:r>
    </w:p>
    <w:p w14:paraId="0179C90A" w14:textId="77777777" w:rsidR="00B23F49" w:rsidRDefault="00B23F49" w:rsidP="000F717E">
      <w:pPr>
        <w:pStyle w:val="Numberedparagraph"/>
        <w:numPr>
          <w:ilvl w:val="0"/>
          <w:numId w:val="0"/>
        </w:numPr>
        <w:shd w:val="clear" w:color="auto" w:fill="E2EFD9" w:themeFill="accent6" w:themeFillTint="33"/>
        <w:spacing w:after="0"/>
        <w:ind w:left="567" w:hanging="567"/>
        <w:rPr>
          <w:rFonts w:ascii="Source Sans Pro" w:hAnsi="Source Sans Pro"/>
          <w:i/>
        </w:rPr>
      </w:pPr>
    </w:p>
    <w:p w14:paraId="282FCB5D" w14:textId="77777777" w:rsidR="000F717E" w:rsidRDefault="000F717E" w:rsidP="00DE2CDB"/>
    <w:p w14:paraId="6FB32B22" w14:textId="296749A2" w:rsidR="000F717E" w:rsidRPr="007B0458" w:rsidRDefault="000F717E" w:rsidP="000F717E">
      <w:pPr>
        <w:rPr>
          <w:b/>
          <w:sz w:val="30"/>
          <w:szCs w:val="30"/>
        </w:rPr>
      </w:pPr>
      <w:r w:rsidRPr="001432A2">
        <w:rPr>
          <w:b/>
          <w:sz w:val="30"/>
          <w:szCs w:val="30"/>
        </w:rPr>
        <w:t xml:space="preserve">Section </w:t>
      </w:r>
      <w:r>
        <w:rPr>
          <w:b/>
          <w:sz w:val="30"/>
          <w:szCs w:val="30"/>
        </w:rPr>
        <w:t>9</w:t>
      </w:r>
      <w:r w:rsidRPr="001432A2">
        <w:rPr>
          <w:b/>
          <w:sz w:val="30"/>
          <w:szCs w:val="30"/>
        </w:rPr>
        <w:t xml:space="preserve">: </w:t>
      </w:r>
      <w:r>
        <w:rPr>
          <w:b/>
          <w:sz w:val="30"/>
          <w:szCs w:val="30"/>
        </w:rPr>
        <w:t>Monitoring and evaluation</w:t>
      </w:r>
    </w:p>
    <w:p w14:paraId="478AA665" w14:textId="77777777" w:rsidR="000F717E" w:rsidRPr="000A1AF9" w:rsidRDefault="000F717E" w:rsidP="00F85B6A">
      <w:pPr>
        <w:pStyle w:val="Numberedparagraph"/>
      </w:pPr>
      <w:r w:rsidRPr="000A1AF9">
        <w:t>[enter text here – use the ‘Numbered paragraph’ style]</w:t>
      </w:r>
    </w:p>
    <w:p w14:paraId="2D1E5206" w14:textId="77777777" w:rsidR="000F717E" w:rsidRDefault="000F717E" w:rsidP="000F717E">
      <w:pPr>
        <w:pStyle w:val="Numberedparagraph"/>
        <w:numPr>
          <w:ilvl w:val="0"/>
          <w:numId w:val="0"/>
        </w:numPr>
      </w:pPr>
    </w:p>
    <w:p w14:paraId="7F3D8824"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769CD6B8" w14:textId="61D2B872"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r>
        <w:rPr>
          <w:rFonts w:ascii="Source Sans Pro" w:hAnsi="Source Sans Pro"/>
          <w:i/>
        </w:rPr>
        <w:t xml:space="preserve"> </w:t>
      </w:r>
      <w:r w:rsidR="00B23F49">
        <w:rPr>
          <w:rFonts w:ascii="Source Sans Pro" w:hAnsi="Source Sans Pro"/>
          <w:i/>
        </w:rPr>
        <w:t xml:space="preserve"> </w:t>
      </w:r>
    </w:p>
    <w:p w14:paraId="2C883B0E" w14:textId="77777777" w:rsid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r w:rsidRPr="00B23F49">
        <w:rPr>
          <w:rFonts w:ascii="Source Sans Pro" w:hAnsi="Source Sans Pro"/>
          <w:i/>
          <w:lang w:val="en-GB"/>
        </w:rPr>
        <w:t xml:space="preserve">See section 6 “Implementation, monitoring and managing cost recovery regimes” in the Treasury’s ‘Guidelines for Setting Charges in the Public Sector’ for more information. </w:t>
      </w:r>
    </w:p>
    <w:p w14:paraId="5568F7B6" w14:textId="77777777" w:rsidR="00B23F49" w:rsidRP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p>
    <w:p w14:paraId="014E6021" w14:textId="77777777" w:rsidR="00B23F49" w:rsidRPr="00B23F49" w:rsidRDefault="00B23F49" w:rsidP="007C6B3A">
      <w:pPr>
        <w:pStyle w:val="Numberedparagraph"/>
        <w:numPr>
          <w:ilvl w:val="0"/>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Outline plans for monitoring, benchmarking and evaluating the effectiveness of the preferred option, including performance indicators and how the necessary data will be collected.</w:t>
      </w:r>
    </w:p>
    <w:p w14:paraId="36CA95E0" w14:textId="77777777" w:rsidR="00B23F49" w:rsidRPr="00B23F49" w:rsidRDefault="00B23F49" w:rsidP="007C6B3A">
      <w:pPr>
        <w:pStyle w:val="Numberedparagraph"/>
        <w:numPr>
          <w:ilvl w:val="0"/>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What performance metrics will be established to assess the performance of the regulator? This is important to prove that activities are operating efficiently and meet the ‘open book’ approach to cost recovery. For example:</w:t>
      </w:r>
    </w:p>
    <w:p w14:paraId="14E47B96" w14:textId="77777777" w:rsidR="00B23F49" w:rsidRPr="00B23F49" w:rsidRDefault="00B23F49" w:rsidP="007C6B3A">
      <w:pPr>
        <w:pStyle w:val="Numberedparagraph"/>
        <w:numPr>
          <w:ilvl w:val="1"/>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 xml:space="preserve">Require x% of all applications for licences to be completed within x working days. </w:t>
      </w:r>
    </w:p>
    <w:p w14:paraId="1C65D3D4" w14:textId="77777777" w:rsidR="00B23F49" w:rsidRPr="00B23F49" w:rsidRDefault="00B23F49" w:rsidP="007C6B3A">
      <w:pPr>
        <w:pStyle w:val="Numberedparagraph"/>
        <w:numPr>
          <w:ilvl w:val="1"/>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 xml:space="preserve">Notifications are provided when the service or good is not going to be provided by the proposed time. </w:t>
      </w:r>
    </w:p>
    <w:p w14:paraId="097C378C" w14:textId="77777777" w:rsidR="00B23F49" w:rsidRPr="00B23F49" w:rsidRDefault="00B23F49" w:rsidP="007C6B3A">
      <w:pPr>
        <w:pStyle w:val="Numberedparagraph"/>
        <w:numPr>
          <w:ilvl w:val="1"/>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 xml:space="preserve">For variable charges: an indication of expected cost, how this relates to the average, and if it is different what is the reason. </w:t>
      </w:r>
    </w:p>
    <w:p w14:paraId="7D6BACEE" w14:textId="77777777" w:rsidR="00B23F49" w:rsidRPr="00B23F49" w:rsidRDefault="00B23F49" w:rsidP="007C6B3A">
      <w:pPr>
        <w:pStyle w:val="Numberedparagraph"/>
        <w:numPr>
          <w:ilvl w:val="0"/>
          <w:numId w:val="18"/>
        </w:numPr>
        <w:shd w:val="clear" w:color="auto" w:fill="E2EFD9" w:themeFill="accent6" w:themeFillTint="33"/>
        <w:rPr>
          <w:rFonts w:ascii="Source Sans Pro" w:eastAsia="Times New Roman" w:hAnsi="Source Sans Pro" w:cs="Times New Roman"/>
          <w:i/>
          <w:szCs w:val="20"/>
          <w:lang w:val="en-AU"/>
        </w:rPr>
      </w:pPr>
      <w:r w:rsidRPr="00B23F49">
        <w:rPr>
          <w:rFonts w:ascii="Source Sans Pro" w:eastAsia="Times New Roman" w:hAnsi="Source Sans Pro" w:cs="Times New Roman"/>
          <w:i/>
          <w:szCs w:val="20"/>
          <w:lang w:val="en-AU"/>
        </w:rPr>
        <w:t>Having performance metrics in place is particularly important for variable charges eg hourly fees.</w:t>
      </w:r>
    </w:p>
    <w:p w14:paraId="0FA3AFD0" w14:textId="77777777" w:rsidR="00B23F49" w:rsidRDefault="00B23F49" w:rsidP="000F717E">
      <w:pPr>
        <w:pStyle w:val="Numberedparagraph"/>
        <w:numPr>
          <w:ilvl w:val="0"/>
          <w:numId w:val="0"/>
        </w:numPr>
        <w:shd w:val="clear" w:color="auto" w:fill="E2EFD9" w:themeFill="accent6" w:themeFillTint="33"/>
        <w:spacing w:after="0"/>
        <w:ind w:left="567" w:hanging="567"/>
        <w:rPr>
          <w:rFonts w:ascii="Source Sans Pro" w:hAnsi="Source Sans Pro"/>
          <w:i/>
        </w:rPr>
      </w:pPr>
    </w:p>
    <w:p w14:paraId="337D79B7" w14:textId="77777777" w:rsidR="000F717E" w:rsidRDefault="000F717E" w:rsidP="00DE2CDB"/>
    <w:p w14:paraId="78624C60" w14:textId="34E100EE" w:rsidR="000F717E" w:rsidRPr="007B0458" w:rsidRDefault="000F717E" w:rsidP="000F717E">
      <w:pPr>
        <w:rPr>
          <w:b/>
          <w:sz w:val="30"/>
          <w:szCs w:val="30"/>
        </w:rPr>
      </w:pPr>
      <w:r w:rsidRPr="001432A2">
        <w:rPr>
          <w:b/>
          <w:sz w:val="30"/>
          <w:szCs w:val="30"/>
        </w:rPr>
        <w:t xml:space="preserve">Section </w:t>
      </w:r>
      <w:r>
        <w:rPr>
          <w:b/>
          <w:sz w:val="30"/>
          <w:szCs w:val="30"/>
        </w:rPr>
        <w:t>10</w:t>
      </w:r>
      <w:r w:rsidRPr="001432A2">
        <w:rPr>
          <w:b/>
          <w:sz w:val="30"/>
          <w:szCs w:val="30"/>
        </w:rPr>
        <w:t xml:space="preserve">: </w:t>
      </w:r>
      <w:r>
        <w:rPr>
          <w:b/>
          <w:sz w:val="30"/>
          <w:szCs w:val="30"/>
        </w:rPr>
        <w:t>Review</w:t>
      </w:r>
    </w:p>
    <w:p w14:paraId="6E1904C5" w14:textId="77777777" w:rsidR="000F717E" w:rsidRPr="000A1AF9" w:rsidRDefault="000F717E" w:rsidP="00F85B6A">
      <w:pPr>
        <w:pStyle w:val="Numberedparagraph"/>
      </w:pPr>
      <w:r w:rsidRPr="000A1AF9">
        <w:t>[enter text here – use the ‘Numbered paragraph’ style]</w:t>
      </w:r>
    </w:p>
    <w:p w14:paraId="50D8EA2F" w14:textId="77777777" w:rsidR="000F717E" w:rsidRDefault="000F717E" w:rsidP="000F717E">
      <w:pPr>
        <w:pStyle w:val="Numberedparagraph"/>
        <w:numPr>
          <w:ilvl w:val="0"/>
          <w:numId w:val="0"/>
        </w:numPr>
      </w:pPr>
    </w:p>
    <w:p w14:paraId="2C9CE737" w14:textId="77777777" w:rsidR="000F717E" w:rsidRPr="00023FAA" w:rsidRDefault="000F717E" w:rsidP="000F717E">
      <w:pPr>
        <w:pStyle w:val="Numberedparagraph"/>
        <w:numPr>
          <w:ilvl w:val="0"/>
          <w:numId w:val="0"/>
        </w:numPr>
        <w:shd w:val="clear" w:color="auto" w:fill="C5E0B3" w:themeFill="accent6" w:themeFillTint="66"/>
        <w:spacing w:after="0"/>
        <w:ind w:left="567" w:hanging="567"/>
        <w:rPr>
          <w:rFonts w:ascii="Source Sans Pro" w:hAnsi="Source Sans Pro"/>
          <w:b/>
        </w:rPr>
      </w:pPr>
      <w:r w:rsidRPr="00023FAA">
        <w:rPr>
          <w:rFonts w:ascii="Source Sans Pro" w:hAnsi="Source Sans Pro"/>
          <w:b/>
        </w:rPr>
        <w:t xml:space="preserve">Guidance for </w:t>
      </w:r>
      <w:r>
        <w:rPr>
          <w:rFonts w:ascii="Source Sans Pro" w:hAnsi="Source Sans Pro"/>
          <w:b/>
        </w:rPr>
        <w:t>this section</w:t>
      </w:r>
    </w:p>
    <w:p w14:paraId="1A5EF02A" w14:textId="77777777" w:rsidR="000F717E" w:rsidRDefault="000F717E" w:rsidP="000F717E">
      <w:pPr>
        <w:pStyle w:val="Numberedparagraph"/>
        <w:numPr>
          <w:ilvl w:val="0"/>
          <w:numId w:val="0"/>
        </w:numPr>
        <w:shd w:val="clear" w:color="auto" w:fill="E2EFD9" w:themeFill="accent6" w:themeFillTint="33"/>
        <w:spacing w:after="0"/>
        <w:ind w:left="567" w:hanging="567"/>
        <w:rPr>
          <w:rFonts w:ascii="Source Sans Pro" w:hAnsi="Source Sans Pro"/>
          <w:i/>
        </w:rPr>
      </w:pPr>
      <w:r>
        <w:rPr>
          <w:rFonts w:ascii="Source Sans Pro" w:hAnsi="Source Sans Pro"/>
          <w:i/>
        </w:rPr>
        <w:t xml:space="preserve"> </w:t>
      </w:r>
    </w:p>
    <w:p w14:paraId="628829F6" w14:textId="77777777" w:rsid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r w:rsidRPr="00B23F49">
        <w:rPr>
          <w:rFonts w:ascii="Source Sans Pro" w:hAnsi="Source Sans Pro"/>
          <w:i/>
          <w:lang w:val="en-GB"/>
        </w:rPr>
        <w:t>See section 6.7 “Reviews of cost recovery regimes” in the Treasury’s ‘Guidelines for Setting Charges in the Public Sector’ for more information.</w:t>
      </w:r>
    </w:p>
    <w:p w14:paraId="48ED58C2" w14:textId="77777777" w:rsidR="00B23F49" w:rsidRPr="00B23F49" w:rsidRDefault="00B23F49" w:rsidP="00B23F49">
      <w:pPr>
        <w:pStyle w:val="Numberedparagraph"/>
        <w:numPr>
          <w:ilvl w:val="0"/>
          <w:numId w:val="0"/>
        </w:numPr>
        <w:shd w:val="clear" w:color="auto" w:fill="E2EFD9" w:themeFill="accent6" w:themeFillTint="33"/>
        <w:spacing w:after="0"/>
        <w:rPr>
          <w:rFonts w:ascii="Source Sans Pro" w:hAnsi="Source Sans Pro"/>
          <w:i/>
          <w:lang w:val="en-GB"/>
        </w:rPr>
      </w:pPr>
    </w:p>
    <w:p w14:paraId="6D5BB516" w14:textId="3C2AB9A6" w:rsidR="004805A1" w:rsidRDefault="00B23F49" w:rsidP="004805A1">
      <w:pPr>
        <w:pStyle w:val="Numberedparagraph"/>
        <w:numPr>
          <w:ilvl w:val="0"/>
          <w:numId w:val="19"/>
        </w:numPr>
        <w:shd w:val="clear" w:color="auto" w:fill="E2EFD9" w:themeFill="accent6" w:themeFillTint="33"/>
        <w:spacing w:after="0"/>
        <w:rPr>
          <w:rFonts w:ascii="Source Sans Pro" w:hAnsi="Source Sans Pro"/>
          <w:i/>
          <w:lang w:val="en-AU"/>
        </w:rPr>
      </w:pPr>
      <w:r w:rsidRPr="00B23F49">
        <w:rPr>
          <w:rFonts w:ascii="Source Sans Pro" w:hAnsi="Source Sans Pro"/>
          <w:i/>
          <w:lang w:val="en-AU"/>
        </w:rPr>
        <w:lastRenderedPageBreak/>
        <w:t xml:space="preserve">The expectation is that cost recovery regimes are reviewed at least every three years.  Explain how and when it will be reviewed and what the review process will involve (and if no plans for review, the reasons why). This might be as simple as updating this template. </w:t>
      </w:r>
    </w:p>
    <w:p w14:paraId="64C7CA70" w14:textId="77777777" w:rsidR="004805A1" w:rsidRDefault="004805A1" w:rsidP="004805A1">
      <w:pPr>
        <w:pStyle w:val="Heading2"/>
      </w:pPr>
      <w:r>
        <w:rPr>
          <w:rFonts w:ascii="Source Sans Pro" w:hAnsi="Source Sans Pro"/>
          <w:i/>
          <w:lang w:val="en-AU"/>
        </w:rPr>
        <w:br w:type="page"/>
      </w:r>
      <w:r w:rsidRPr="00E3165D">
        <w:lastRenderedPageBreak/>
        <w:t>Annex 1: Best practice examples</w:t>
      </w:r>
    </w:p>
    <w:p w14:paraId="5FAE2A5D" w14:textId="77777777" w:rsidR="004805A1" w:rsidRPr="00473D1A" w:rsidRDefault="004805A1" w:rsidP="004805A1">
      <w:r>
        <w:rPr>
          <w:b/>
        </w:rPr>
        <w:t xml:space="preserve">Figure 1.1: </w:t>
      </w:r>
      <w:r w:rsidRPr="00473D1A">
        <w:t>The cost drivers of an activity, broken down by outputs and business processes</w:t>
      </w:r>
    </w:p>
    <w:p w14:paraId="379C1F68" w14:textId="4BDB796F" w:rsidR="004805A1" w:rsidRDefault="004805A1" w:rsidP="004805A1">
      <w:r>
        <w:rPr>
          <w:noProof/>
        </w:rPr>
        <w:drawing>
          <wp:inline distT="0" distB="0" distL="0" distR="0" wp14:anchorId="13232883" wp14:editId="7092D3FD">
            <wp:extent cx="5687695" cy="2558415"/>
            <wp:effectExtent l="0" t="0" r="8255" b="0"/>
            <wp:docPr id="7031680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7695" cy="2558415"/>
                    </a:xfrm>
                    <a:prstGeom prst="rect">
                      <a:avLst/>
                    </a:prstGeom>
                    <a:noFill/>
                  </pic:spPr>
                </pic:pic>
              </a:graphicData>
            </a:graphic>
          </wp:inline>
        </w:drawing>
      </w:r>
    </w:p>
    <w:p w14:paraId="7B6DA8A7" w14:textId="77777777" w:rsidR="004805A1" w:rsidRDefault="004805A1" w:rsidP="004805A1">
      <w:pPr>
        <w:rPr>
          <w:rFonts w:cs="Arial"/>
          <w:color w:val="202020"/>
        </w:rPr>
      </w:pPr>
      <w:r w:rsidRPr="00397F68">
        <w:rPr>
          <w:b/>
        </w:rPr>
        <w:t>Source:</w:t>
      </w:r>
      <w:r>
        <w:t xml:space="preserve"> Australian Government Cost Recovery Guidelines, Pg. 33. </w:t>
      </w:r>
      <w:hyperlink r:id="rId18" w:history="1">
        <w:r w:rsidRPr="008A0157">
          <w:rPr>
            <w:rFonts w:cs="Arial"/>
            <w:color w:val="0082AB"/>
            <w:u w:val="single"/>
          </w:rPr>
          <w:t>http://www.finance.gov.au/sites/default/files/australian-government-cost-recovery-guidelines.pdf</w:t>
        </w:r>
      </w:hyperlink>
    </w:p>
    <w:p w14:paraId="38EC00A2" w14:textId="77777777" w:rsidR="004805A1" w:rsidRDefault="004805A1" w:rsidP="004805A1"/>
    <w:p w14:paraId="50E12B54" w14:textId="77777777" w:rsidR="004805A1" w:rsidRPr="00477173" w:rsidRDefault="004805A1" w:rsidP="004805A1">
      <w:pPr>
        <w:rPr>
          <w:b/>
        </w:rPr>
      </w:pPr>
      <w:r>
        <w:rPr>
          <w:b/>
        </w:rPr>
        <w:t xml:space="preserve">Figure 1.2: </w:t>
      </w:r>
      <w:r w:rsidRPr="00447DD2">
        <w:t>Breakdown of User Charge Example: Proposed 10-year adult e-passport fee breakdown</w:t>
      </w:r>
    </w:p>
    <w:p w14:paraId="6948259B" w14:textId="021812FD" w:rsidR="004805A1" w:rsidRDefault="004805A1" w:rsidP="004805A1">
      <w:pPr>
        <w:keepNext/>
        <w:spacing w:after="120"/>
      </w:pPr>
      <w:r w:rsidRPr="00FF63CA">
        <w:rPr>
          <w:noProof/>
        </w:rPr>
        <w:drawing>
          <wp:inline distT="0" distB="0" distL="0" distR="0" wp14:anchorId="5F018DE3" wp14:editId="60B7B142">
            <wp:extent cx="5543550" cy="3200400"/>
            <wp:effectExtent l="0" t="0" r="0" b="0"/>
            <wp:docPr id="6736349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t="6329" b="5209"/>
                    <a:stretch>
                      <a:fillRect/>
                    </a:stretch>
                  </pic:blipFill>
                  <pic:spPr bwMode="auto">
                    <a:xfrm>
                      <a:off x="0" y="0"/>
                      <a:ext cx="5543550" cy="3200400"/>
                    </a:xfrm>
                    <a:prstGeom prst="rect">
                      <a:avLst/>
                    </a:prstGeom>
                    <a:noFill/>
                    <a:ln>
                      <a:noFill/>
                    </a:ln>
                  </pic:spPr>
                </pic:pic>
              </a:graphicData>
            </a:graphic>
          </wp:inline>
        </w:drawing>
      </w:r>
    </w:p>
    <w:p w14:paraId="0FD7A153" w14:textId="77777777" w:rsidR="004805A1" w:rsidRDefault="004805A1" w:rsidP="004805A1">
      <w:r w:rsidRPr="00397F68">
        <w:rPr>
          <w:b/>
          <w:color w:val="000000"/>
        </w:rPr>
        <w:t>Source:</w:t>
      </w:r>
      <w:r w:rsidRPr="00477173">
        <w:rPr>
          <w:color w:val="000000"/>
        </w:rPr>
        <w:t xml:space="preserve"> </w:t>
      </w:r>
      <w:hyperlink r:id="rId20" w:history="1">
        <w:r w:rsidRPr="008A0157">
          <w:rPr>
            <w:rStyle w:val="Hyperlink"/>
          </w:rPr>
          <w:t>Passport Canada Fee-for-Service Proposal, Pg. 20</w:t>
        </w:r>
      </w:hyperlink>
    </w:p>
    <w:p w14:paraId="5E54A3D9" w14:textId="77777777" w:rsidR="004805A1" w:rsidRDefault="004805A1" w:rsidP="004805A1">
      <w:pPr>
        <w:keepNext/>
      </w:pPr>
      <w:r>
        <w:rPr>
          <w:b/>
        </w:rPr>
        <w:lastRenderedPageBreak/>
        <w:t>Figure 1.3:</w:t>
      </w:r>
      <w:r>
        <w:t xml:space="preserve"> Allocating and apportioning costs to a cost object (eg, an output)</w:t>
      </w:r>
    </w:p>
    <w:p w14:paraId="701EAC99" w14:textId="60DF579E" w:rsidR="004805A1" w:rsidRDefault="004805A1" w:rsidP="004805A1">
      <w:pPr>
        <w:spacing w:after="120"/>
      </w:pPr>
      <w:r>
        <w:rPr>
          <w:noProof/>
        </w:rPr>
        <w:drawing>
          <wp:inline distT="0" distB="0" distL="0" distR="0" wp14:anchorId="46D5F498" wp14:editId="32E045B7">
            <wp:extent cx="5695315" cy="3330575"/>
            <wp:effectExtent l="0" t="0" r="635" b="3175"/>
            <wp:docPr id="152741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315" cy="3330575"/>
                    </a:xfrm>
                    <a:prstGeom prst="rect">
                      <a:avLst/>
                    </a:prstGeom>
                    <a:noFill/>
                  </pic:spPr>
                </pic:pic>
              </a:graphicData>
            </a:graphic>
          </wp:inline>
        </w:drawing>
      </w:r>
    </w:p>
    <w:p w14:paraId="63D05195" w14:textId="77777777" w:rsidR="004805A1" w:rsidRDefault="004805A1" w:rsidP="004805A1">
      <w:pPr>
        <w:autoSpaceDE w:val="0"/>
        <w:autoSpaceDN w:val="0"/>
        <w:adjustRightInd w:val="0"/>
        <w:spacing w:after="0" w:line="240" w:lineRule="auto"/>
        <w:rPr>
          <w:rFonts w:ascii="DIN-Regular" w:hAnsi="DIN-Regular" w:cs="DIN-Regular"/>
          <w:color w:val="FFFFFF"/>
          <w:sz w:val="13"/>
          <w:szCs w:val="13"/>
          <w:lang w:eastAsia="en-NZ"/>
        </w:rPr>
      </w:pPr>
      <w:r>
        <w:rPr>
          <w:rFonts w:ascii="DIN-Regular" w:hAnsi="DIN-Regular" w:cs="DIN-Regular"/>
          <w:color w:val="FFFFFF"/>
          <w:sz w:val="13"/>
          <w:szCs w:val="13"/>
          <w:lang w:eastAsia="en-NZ"/>
        </w:rPr>
        <w:t>Activity</w:t>
      </w:r>
    </w:p>
    <w:p w14:paraId="49D69F77" w14:textId="77777777" w:rsidR="004805A1" w:rsidRPr="000C4A71" w:rsidRDefault="004805A1" w:rsidP="004805A1">
      <w:pPr>
        <w:rPr>
          <w:rFonts w:cs="Arial"/>
          <w:color w:val="0082AB"/>
        </w:rPr>
      </w:pPr>
      <w:r w:rsidRPr="00397F68">
        <w:rPr>
          <w:b/>
        </w:rPr>
        <w:t>Source:</w:t>
      </w:r>
      <w:r>
        <w:t xml:space="preserve"> Australian Government Cost Recovery Guidelines, Pg. 36. </w:t>
      </w:r>
      <w:hyperlink r:id="rId22" w:history="1">
        <w:r w:rsidRPr="008A0157">
          <w:rPr>
            <w:rFonts w:cs="Arial"/>
            <w:color w:val="0082AB"/>
            <w:u w:val="single"/>
          </w:rPr>
          <w:t>http://www.finance.gov.au/sites/default/files/australian-government-cost-recovery-guidelines.pdf</w:t>
        </w:r>
      </w:hyperlink>
    </w:p>
    <w:p w14:paraId="49B06601" w14:textId="77777777" w:rsidR="004805A1" w:rsidRPr="002F1429" w:rsidRDefault="004805A1" w:rsidP="004805A1"/>
    <w:p w14:paraId="0F462309" w14:textId="77777777" w:rsidR="004805A1" w:rsidRPr="00447DD2" w:rsidRDefault="004805A1" w:rsidP="004805A1">
      <w:pPr>
        <w:pStyle w:val="NoSpacing"/>
        <w:spacing w:after="180"/>
        <w:rPr>
          <w:rFonts w:ascii="Arial" w:hAnsi="Arial" w:cs="Arial"/>
          <w:b/>
        </w:rPr>
      </w:pPr>
      <w:r>
        <w:rPr>
          <w:rFonts w:ascii="Arial" w:hAnsi="Arial" w:cs="Arial"/>
          <w:b/>
        </w:rPr>
        <w:t>Figure 1.4:</w:t>
      </w:r>
      <w:r w:rsidRPr="00447DD2">
        <w:rPr>
          <w:rFonts w:ascii="Arial" w:hAnsi="Arial" w:cs="Arial"/>
        </w:rPr>
        <w:t xml:space="preserve"> Forecast fee revenue</w:t>
      </w:r>
      <w:r>
        <w:rPr>
          <w:rFonts w:ascii="Arial" w:hAnsi="Arial" w:cs="Arial"/>
        </w:rPr>
        <w:t xml:space="preserve"> example</w:t>
      </w:r>
      <w:r w:rsidRPr="00447DD2">
        <w:rPr>
          <w:rFonts w:ascii="Arial" w:hAnsi="Arial" w:cs="Arial"/>
        </w:rPr>
        <w:t xml:space="preserve"> (2014/15)</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859"/>
        <w:gridCol w:w="2318"/>
        <w:gridCol w:w="1774"/>
        <w:gridCol w:w="1775"/>
        <w:gridCol w:w="346"/>
      </w:tblGrid>
      <w:tr w:rsidR="004805A1" w:rsidRPr="00C85A27" w14:paraId="4512A6B3" w14:textId="77777777">
        <w:trPr>
          <w:trHeight w:val="271"/>
        </w:trPr>
        <w:tc>
          <w:tcPr>
            <w:tcW w:w="2977" w:type="dxa"/>
            <w:shd w:val="clear" w:color="auto" w:fill="EBF5F8"/>
            <w:tcMar>
              <w:left w:w="108" w:type="dxa"/>
              <w:right w:w="108" w:type="dxa"/>
            </w:tcMar>
          </w:tcPr>
          <w:p w14:paraId="10BACE9D" w14:textId="77777777" w:rsidR="004805A1" w:rsidRPr="000C4A71" w:rsidRDefault="004805A1">
            <w:pPr>
              <w:pStyle w:val="TableText"/>
              <w:rPr>
                <w:b/>
                <w:color w:val="0082AB"/>
                <w:sz w:val="18"/>
                <w:szCs w:val="18"/>
              </w:rPr>
            </w:pPr>
            <w:r w:rsidRPr="000C4A71">
              <w:rPr>
                <w:b/>
                <w:color w:val="0082AB"/>
                <w:sz w:val="18"/>
                <w:szCs w:val="18"/>
              </w:rPr>
              <w:t xml:space="preserve">Application </w:t>
            </w:r>
          </w:p>
        </w:tc>
        <w:tc>
          <w:tcPr>
            <w:tcW w:w="2410" w:type="dxa"/>
            <w:shd w:val="clear" w:color="auto" w:fill="EBF5F8"/>
            <w:tcMar>
              <w:left w:w="108" w:type="dxa"/>
              <w:right w:w="108" w:type="dxa"/>
            </w:tcMar>
          </w:tcPr>
          <w:p w14:paraId="6995154E" w14:textId="77777777" w:rsidR="004805A1" w:rsidRPr="000C4A71" w:rsidRDefault="004805A1">
            <w:pPr>
              <w:pStyle w:val="TableText"/>
              <w:rPr>
                <w:b/>
                <w:color w:val="0082AB"/>
                <w:sz w:val="18"/>
                <w:szCs w:val="18"/>
              </w:rPr>
            </w:pPr>
            <w:r w:rsidRPr="000C4A71">
              <w:rPr>
                <w:b/>
                <w:color w:val="0082AB"/>
                <w:sz w:val="18"/>
                <w:szCs w:val="18"/>
              </w:rPr>
              <w:t xml:space="preserve">Fees ($) </w:t>
            </w:r>
          </w:p>
        </w:tc>
        <w:tc>
          <w:tcPr>
            <w:tcW w:w="1842" w:type="dxa"/>
            <w:shd w:val="clear" w:color="auto" w:fill="EBF5F8"/>
            <w:tcMar>
              <w:left w:w="108" w:type="dxa"/>
              <w:right w:w="108" w:type="dxa"/>
            </w:tcMar>
          </w:tcPr>
          <w:p w14:paraId="175F3AFD" w14:textId="77777777" w:rsidR="004805A1" w:rsidRPr="000C4A71" w:rsidRDefault="004805A1">
            <w:pPr>
              <w:pStyle w:val="TableText"/>
              <w:rPr>
                <w:b/>
                <w:color w:val="0082AB"/>
                <w:sz w:val="18"/>
                <w:szCs w:val="18"/>
              </w:rPr>
            </w:pPr>
            <w:r w:rsidRPr="000C4A71">
              <w:rPr>
                <w:b/>
                <w:color w:val="0082AB"/>
                <w:sz w:val="18"/>
                <w:szCs w:val="18"/>
              </w:rPr>
              <w:t xml:space="preserve">No. of Applications </w:t>
            </w:r>
          </w:p>
        </w:tc>
        <w:tc>
          <w:tcPr>
            <w:tcW w:w="1843" w:type="dxa"/>
            <w:shd w:val="clear" w:color="auto" w:fill="EBF5F8"/>
            <w:tcMar>
              <w:left w:w="108" w:type="dxa"/>
              <w:right w:w="108" w:type="dxa"/>
            </w:tcMar>
          </w:tcPr>
          <w:p w14:paraId="3B66B3BB" w14:textId="77777777" w:rsidR="004805A1" w:rsidRPr="000C4A71" w:rsidRDefault="004805A1">
            <w:pPr>
              <w:pStyle w:val="TableText"/>
              <w:rPr>
                <w:b/>
                <w:color w:val="0082AB"/>
                <w:sz w:val="18"/>
                <w:szCs w:val="18"/>
              </w:rPr>
            </w:pPr>
            <w:r w:rsidRPr="000C4A71">
              <w:rPr>
                <w:b/>
                <w:color w:val="0082AB"/>
                <w:sz w:val="18"/>
                <w:szCs w:val="18"/>
              </w:rPr>
              <w:t xml:space="preserve">Revenue </w:t>
            </w:r>
            <w:r w:rsidRPr="000C4A71">
              <w:rPr>
                <w:b/>
                <w:color w:val="0082AB"/>
                <w:sz w:val="18"/>
                <w:szCs w:val="18"/>
              </w:rPr>
              <w:br/>
              <w:t>($000)</w:t>
            </w:r>
          </w:p>
        </w:tc>
        <w:tc>
          <w:tcPr>
            <w:tcW w:w="360" w:type="dxa"/>
          </w:tcPr>
          <w:p w14:paraId="6E09F322" w14:textId="77777777" w:rsidR="004805A1" w:rsidRPr="00C85A27" w:rsidRDefault="004805A1">
            <w:pPr>
              <w:rPr>
                <w:b/>
                <w:color w:val="002469"/>
                <w:sz w:val="18"/>
                <w:szCs w:val="18"/>
              </w:rPr>
            </w:pPr>
            <w:r w:rsidRPr="00C85A27">
              <w:rPr>
                <w:b/>
                <w:color w:val="002469"/>
                <w:sz w:val="18"/>
                <w:szCs w:val="18"/>
              </w:rPr>
              <w:t xml:space="preserve"> </w:t>
            </w:r>
          </w:p>
        </w:tc>
      </w:tr>
      <w:tr w:rsidR="004805A1" w:rsidRPr="00C85A27" w14:paraId="77920880" w14:textId="77777777">
        <w:trPr>
          <w:trHeight w:val="143"/>
        </w:trPr>
        <w:tc>
          <w:tcPr>
            <w:tcW w:w="2977" w:type="dxa"/>
            <w:tcMar>
              <w:left w:w="108" w:type="dxa"/>
              <w:right w:w="108" w:type="dxa"/>
            </w:tcMar>
          </w:tcPr>
          <w:p w14:paraId="0EC15644" w14:textId="77777777" w:rsidR="004805A1" w:rsidRPr="00C85A27" w:rsidRDefault="004805A1">
            <w:pPr>
              <w:pStyle w:val="TableText"/>
              <w:rPr>
                <w:sz w:val="16"/>
                <w:szCs w:val="18"/>
              </w:rPr>
            </w:pPr>
            <w:r w:rsidRPr="00C85A27">
              <w:rPr>
                <w:sz w:val="16"/>
                <w:szCs w:val="18"/>
              </w:rPr>
              <w:t xml:space="preserve">Initial Provider Registration </w:t>
            </w:r>
          </w:p>
        </w:tc>
        <w:tc>
          <w:tcPr>
            <w:tcW w:w="2410" w:type="dxa"/>
            <w:tcMar>
              <w:left w:w="108" w:type="dxa"/>
              <w:right w:w="108" w:type="dxa"/>
            </w:tcMar>
          </w:tcPr>
          <w:p w14:paraId="2A172C5F" w14:textId="77777777" w:rsidR="004805A1" w:rsidRPr="00C85A27" w:rsidRDefault="004805A1">
            <w:pPr>
              <w:pStyle w:val="TableText"/>
              <w:rPr>
                <w:sz w:val="16"/>
                <w:szCs w:val="18"/>
              </w:rPr>
            </w:pPr>
            <w:r w:rsidRPr="00C85A27">
              <w:rPr>
                <w:sz w:val="16"/>
                <w:szCs w:val="18"/>
              </w:rPr>
              <w:t xml:space="preserve">$22,000 &amp; $85,000 </w:t>
            </w:r>
          </w:p>
        </w:tc>
        <w:tc>
          <w:tcPr>
            <w:tcW w:w="1842" w:type="dxa"/>
            <w:tcMar>
              <w:left w:w="108" w:type="dxa"/>
              <w:right w:w="108" w:type="dxa"/>
            </w:tcMar>
          </w:tcPr>
          <w:p w14:paraId="560DFECB" w14:textId="77777777" w:rsidR="004805A1" w:rsidRPr="00C85A27" w:rsidRDefault="004805A1">
            <w:pPr>
              <w:pStyle w:val="TableText"/>
              <w:rPr>
                <w:sz w:val="16"/>
                <w:szCs w:val="18"/>
              </w:rPr>
            </w:pPr>
            <w:r w:rsidRPr="00C85A27">
              <w:rPr>
                <w:sz w:val="16"/>
                <w:szCs w:val="18"/>
              </w:rPr>
              <w:t xml:space="preserve">18 </w:t>
            </w:r>
          </w:p>
        </w:tc>
        <w:tc>
          <w:tcPr>
            <w:tcW w:w="1843" w:type="dxa"/>
            <w:tcMar>
              <w:left w:w="108" w:type="dxa"/>
              <w:right w:w="108" w:type="dxa"/>
            </w:tcMar>
          </w:tcPr>
          <w:p w14:paraId="71F49A1E" w14:textId="77777777" w:rsidR="004805A1" w:rsidRPr="00C85A27" w:rsidRDefault="004805A1">
            <w:pPr>
              <w:pStyle w:val="TableText"/>
              <w:rPr>
                <w:sz w:val="16"/>
                <w:szCs w:val="18"/>
              </w:rPr>
            </w:pPr>
            <w:r w:rsidRPr="00C85A27">
              <w:rPr>
                <w:sz w:val="16"/>
                <w:szCs w:val="18"/>
              </w:rPr>
              <w:t xml:space="preserve">396 </w:t>
            </w:r>
          </w:p>
        </w:tc>
        <w:tc>
          <w:tcPr>
            <w:tcW w:w="360" w:type="dxa"/>
          </w:tcPr>
          <w:p w14:paraId="4FC97213" w14:textId="77777777" w:rsidR="004805A1" w:rsidRPr="00C85A27" w:rsidRDefault="004805A1">
            <w:pPr>
              <w:rPr>
                <w:sz w:val="16"/>
                <w:szCs w:val="18"/>
              </w:rPr>
            </w:pPr>
            <w:r w:rsidRPr="00C85A27">
              <w:rPr>
                <w:sz w:val="16"/>
                <w:szCs w:val="18"/>
              </w:rPr>
              <w:t xml:space="preserve"> </w:t>
            </w:r>
          </w:p>
        </w:tc>
      </w:tr>
      <w:tr w:rsidR="004805A1" w:rsidRPr="00C85A27" w14:paraId="385D10C9" w14:textId="77777777">
        <w:trPr>
          <w:trHeight w:val="143"/>
        </w:trPr>
        <w:tc>
          <w:tcPr>
            <w:tcW w:w="2977" w:type="dxa"/>
            <w:tcMar>
              <w:left w:w="108" w:type="dxa"/>
              <w:right w:w="108" w:type="dxa"/>
            </w:tcMar>
          </w:tcPr>
          <w:p w14:paraId="7E2A226F" w14:textId="77777777" w:rsidR="004805A1" w:rsidRPr="00C85A27" w:rsidRDefault="004805A1">
            <w:pPr>
              <w:pStyle w:val="TableText"/>
              <w:rPr>
                <w:sz w:val="16"/>
                <w:szCs w:val="18"/>
              </w:rPr>
            </w:pPr>
            <w:r w:rsidRPr="00C85A27">
              <w:rPr>
                <w:sz w:val="16"/>
                <w:szCs w:val="18"/>
              </w:rPr>
              <w:t xml:space="preserve">Renewal of Provider Registration </w:t>
            </w:r>
          </w:p>
        </w:tc>
        <w:tc>
          <w:tcPr>
            <w:tcW w:w="2410" w:type="dxa"/>
            <w:tcMar>
              <w:left w:w="108" w:type="dxa"/>
              <w:right w:w="108" w:type="dxa"/>
            </w:tcMar>
          </w:tcPr>
          <w:p w14:paraId="3177ECDE" w14:textId="77777777" w:rsidR="004805A1" w:rsidRPr="00C85A27" w:rsidRDefault="004805A1">
            <w:pPr>
              <w:pStyle w:val="TableText"/>
              <w:rPr>
                <w:sz w:val="16"/>
                <w:szCs w:val="18"/>
              </w:rPr>
            </w:pPr>
            <w:r w:rsidRPr="00C85A27">
              <w:rPr>
                <w:sz w:val="16"/>
                <w:szCs w:val="18"/>
              </w:rPr>
              <w:t xml:space="preserve">$20,000 &amp; $75,000 </w:t>
            </w:r>
          </w:p>
        </w:tc>
        <w:tc>
          <w:tcPr>
            <w:tcW w:w="1842" w:type="dxa"/>
            <w:tcMar>
              <w:left w:w="108" w:type="dxa"/>
              <w:right w:w="108" w:type="dxa"/>
            </w:tcMar>
          </w:tcPr>
          <w:p w14:paraId="60C6D3E4" w14:textId="77777777" w:rsidR="004805A1" w:rsidRPr="00C85A27" w:rsidRDefault="004805A1">
            <w:pPr>
              <w:pStyle w:val="TableText"/>
              <w:rPr>
                <w:sz w:val="16"/>
                <w:szCs w:val="18"/>
              </w:rPr>
            </w:pPr>
            <w:r w:rsidRPr="00C85A27">
              <w:rPr>
                <w:sz w:val="16"/>
                <w:szCs w:val="18"/>
              </w:rPr>
              <w:t xml:space="preserve">38 </w:t>
            </w:r>
          </w:p>
        </w:tc>
        <w:tc>
          <w:tcPr>
            <w:tcW w:w="1843" w:type="dxa"/>
            <w:tcMar>
              <w:left w:w="108" w:type="dxa"/>
              <w:right w:w="108" w:type="dxa"/>
            </w:tcMar>
          </w:tcPr>
          <w:p w14:paraId="46BBCA76" w14:textId="77777777" w:rsidR="004805A1" w:rsidRPr="00C85A27" w:rsidRDefault="004805A1">
            <w:pPr>
              <w:pStyle w:val="TableText"/>
              <w:rPr>
                <w:sz w:val="16"/>
                <w:szCs w:val="18"/>
              </w:rPr>
            </w:pPr>
            <w:r w:rsidRPr="00C85A27">
              <w:rPr>
                <w:sz w:val="16"/>
                <w:szCs w:val="18"/>
              </w:rPr>
              <w:t xml:space="preserve">1,310 </w:t>
            </w:r>
          </w:p>
        </w:tc>
        <w:tc>
          <w:tcPr>
            <w:tcW w:w="360" w:type="dxa"/>
          </w:tcPr>
          <w:p w14:paraId="2D52FBA4" w14:textId="77777777" w:rsidR="004805A1" w:rsidRPr="00C85A27" w:rsidRDefault="004805A1">
            <w:pPr>
              <w:rPr>
                <w:sz w:val="16"/>
                <w:szCs w:val="18"/>
              </w:rPr>
            </w:pPr>
            <w:r w:rsidRPr="00C85A27">
              <w:rPr>
                <w:sz w:val="16"/>
                <w:szCs w:val="18"/>
              </w:rPr>
              <w:t xml:space="preserve"> </w:t>
            </w:r>
          </w:p>
        </w:tc>
      </w:tr>
      <w:tr w:rsidR="004805A1" w:rsidRPr="00C85A27" w14:paraId="6559B347" w14:textId="77777777">
        <w:trPr>
          <w:trHeight w:val="266"/>
        </w:trPr>
        <w:tc>
          <w:tcPr>
            <w:tcW w:w="2977" w:type="dxa"/>
            <w:tcMar>
              <w:left w:w="108" w:type="dxa"/>
              <w:right w:w="108" w:type="dxa"/>
            </w:tcMar>
          </w:tcPr>
          <w:p w14:paraId="638C9632" w14:textId="77777777" w:rsidR="004805A1" w:rsidRPr="00C85A27" w:rsidRDefault="004805A1">
            <w:pPr>
              <w:pStyle w:val="TableText"/>
              <w:rPr>
                <w:sz w:val="16"/>
                <w:szCs w:val="18"/>
              </w:rPr>
            </w:pPr>
            <w:r w:rsidRPr="00C85A27">
              <w:rPr>
                <w:sz w:val="16"/>
                <w:szCs w:val="18"/>
              </w:rPr>
              <w:t xml:space="preserve">Initial Course Accreditation </w:t>
            </w:r>
          </w:p>
        </w:tc>
        <w:tc>
          <w:tcPr>
            <w:tcW w:w="2410" w:type="dxa"/>
            <w:tcMar>
              <w:left w:w="108" w:type="dxa"/>
              <w:right w:w="108" w:type="dxa"/>
            </w:tcMar>
          </w:tcPr>
          <w:p w14:paraId="236AF147" w14:textId="77777777" w:rsidR="004805A1" w:rsidRPr="00C85A27" w:rsidRDefault="004805A1">
            <w:pPr>
              <w:pStyle w:val="TableText"/>
              <w:rPr>
                <w:sz w:val="16"/>
                <w:szCs w:val="18"/>
              </w:rPr>
            </w:pPr>
            <w:r w:rsidRPr="00C85A27">
              <w:rPr>
                <w:sz w:val="16"/>
                <w:szCs w:val="18"/>
              </w:rPr>
              <w:t xml:space="preserve">$9,000 (1st course/app.), </w:t>
            </w:r>
            <w:r>
              <w:rPr>
                <w:sz w:val="16"/>
                <w:szCs w:val="18"/>
              </w:rPr>
              <w:br/>
            </w:r>
            <w:r w:rsidRPr="00C85A27">
              <w:rPr>
                <w:sz w:val="16"/>
                <w:szCs w:val="18"/>
              </w:rPr>
              <w:t xml:space="preserve">$6,300 (2nd course+/app.) </w:t>
            </w:r>
          </w:p>
        </w:tc>
        <w:tc>
          <w:tcPr>
            <w:tcW w:w="1842" w:type="dxa"/>
            <w:tcMar>
              <w:left w:w="108" w:type="dxa"/>
              <w:right w:w="108" w:type="dxa"/>
            </w:tcMar>
          </w:tcPr>
          <w:p w14:paraId="58B706F6" w14:textId="77777777" w:rsidR="004805A1" w:rsidRPr="00C85A27" w:rsidRDefault="004805A1">
            <w:pPr>
              <w:pStyle w:val="TableText"/>
              <w:rPr>
                <w:sz w:val="16"/>
                <w:szCs w:val="18"/>
              </w:rPr>
            </w:pPr>
            <w:r w:rsidRPr="00C85A27">
              <w:rPr>
                <w:sz w:val="16"/>
                <w:szCs w:val="18"/>
              </w:rPr>
              <w:t xml:space="preserve">157 </w:t>
            </w:r>
          </w:p>
        </w:tc>
        <w:tc>
          <w:tcPr>
            <w:tcW w:w="1843" w:type="dxa"/>
            <w:tcMar>
              <w:left w:w="108" w:type="dxa"/>
              <w:right w:w="108" w:type="dxa"/>
            </w:tcMar>
          </w:tcPr>
          <w:p w14:paraId="0092E0DD" w14:textId="77777777" w:rsidR="004805A1" w:rsidRPr="00C85A27" w:rsidRDefault="004805A1">
            <w:pPr>
              <w:pStyle w:val="TableText"/>
              <w:rPr>
                <w:sz w:val="16"/>
                <w:szCs w:val="18"/>
              </w:rPr>
            </w:pPr>
            <w:r w:rsidRPr="00C85A27">
              <w:rPr>
                <w:sz w:val="16"/>
                <w:szCs w:val="18"/>
              </w:rPr>
              <w:t xml:space="preserve">1,151 </w:t>
            </w:r>
          </w:p>
        </w:tc>
        <w:tc>
          <w:tcPr>
            <w:tcW w:w="360" w:type="dxa"/>
          </w:tcPr>
          <w:p w14:paraId="1DC93B6E" w14:textId="77777777" w:rsidR="004805A1" w:rsidRPr="00C85A27" w:rsidRDefault="004805A1">
            <w:pPr>
              <w:rPr>
                <w:sz w:val="16"/>
                <w:szCs w:val="18"/>
              </w:rPr>
            </w:pPr>
            <w:r w:rsidRPr="00C85A27">
              <w:rPr>
                <w:sz w:val="16"/>
                <w:szCs w:val="18"/>
              </w:rPr>
              <w:t xml:space="preserve"> </w:t>
            </w:r>
          </w:p>
        </w:tc>
      </w:tr>
      <w:tr w:rsidR="004805A1" w:rsidRPr="00C85A27" w14:paraId="3D3F96D7" w14:textId="77777777">
        <w:trPr>
          <w:trHeight w:val="412"/>
        </w:trPr>
        <w:tc>
          <w:tcPr>
            <w:tcW w:w="2977" w:type="dxa"/>
            <w:tcMar>
              <w:left w:w="108" w:type="dxa"/>
              <w:right w:w="108" w:type="dxa"/>
            </w:tcMar>
          </w:tcPr>
          <w:p w14:paraId="4BF9A6D4" w14:textId="77777777" w:rsidR="004805A1" w:rsidRPr="00C85A27" w:rsidRDefault="004805A1">
            <w:pPr>
              <w:pStyle w:val="TableText"/>
              <w:rPr>
                <w:sz w:val="16"/>
                <w:szCs w:val="18"/>
              </w:rPr>
            </w:pPr>
            <w:r w:rsidRPr="00C85A27">
              <w:rPr>
                <w:sz w:val="16"/>
                <w:szCs w:val="18"/>
              </w:rPr>
              <w:t xml:space="preserve">Renewal of Course Accreditation </w:t>
            </w:r>
          </w:p>
        </w:tc>
        <w:tc>
          <w:tcPr>
            <w:tcW w:w="2410" w:type="dxa"/>
            <w:tcMar>
              <w:left w:w="108" w:type="dxa"/>
              <w:right w:w="108" w:type="dxa"/>
            </w:tcMar>
          </w:tcPr>
          <w:p w14:paraId="4381FD60" w14:textId="77777777" w:rsidR="004805A1" w:rsidRPr="00C85A27" w:rsidRDefault="004805A1">
            <w:pPr>
              <w:pStyle w:val="TableText"/>
              <w:rPr>
                <w:sz w:val="16"/>
                <w:szCs w:val="18"/>
              </w:rPr>
            </w:pPr>
            <w:r w:rsidRPr="00C85A27">
              <w:rPr>
                <w:sz w:val="16"/>
                <w:szCs w:val="18"/>
              </w:rPr>
              <w:t xml:space="preserve">$8,000 (1st course/app.), </w:t>
            </w:r>
            <w:r>
              <w:rPr>
                <w:sz w:val="16"/>
                <w:szCs w:val="18"/>
              </w:rPr>
              <w:br/>
            </w:r>
            <w:r w:rsidRPr="00C85A27">
              <w:rPr>
                <w:sz w:val="16"/>
                <w:szCs w:val="18"/>
              </w:rPr>
              <w:t xml:space="preserve">$5,600 (2nd course+/app.), </w:t>
            </w:r>
            <w:r>
              <w:rPr>
                <w:sz w:val="16"/>
                <w:szCs w:val="18"/>
              </w:rPr>
              <w:br/>
            </w:r>
            <w:r w:rsidRPr="00C85A27">
              <w:rPr>
                <w:sz w:val="16"/>
                <w:szCs w:val="18"/>
              </w:rPr>
              <w:t xml:space="preserve">$1,000 (teach out) </w:t>
            </w:r>
          </w:p>
        </w:tc>
        <w:tc>
          <w:tcPr>
            <w:tcW w:w="1842" w:type="dxa"/>
            <w:tcMar>
              <w:left w:w="108" w:type="dxa"/>
              <w:right w:w="108" w:type="dxa"/>
            </w:tcMar>
          </w:tcPr>
          <w:p w14:paraId="6CE232AD" w14:textId="77777777" w:rsidR="004805A1" w:rsidRPr="00C85A27" w:rsidRDefault="004805A1">
            <w:pPr>
              <w:pStyle w:val="TableText"/>
              <w:rPr>
                <w:sz w:val="16"/>
                <w:szCs w:val="18"/>
              </w:rPr>
            </w:pPr>
            <w:r w:rsidRPr="00C85A27">
              <w:rPr>
                <w:sz w:val="16"/>
                <w:szCs w:val="18"/>
              </w:rPr>
              <w:t xml:space="preserve">207 </w:t>
            </w:r>
          </w:p>
        </w:tc>
        <w:tc>
          <w:tcPr>
            <w:tcW w:w="1843" w:type="dxa"/>
            <w:tcMar>
              <w:left w:w="108" w:type="dxa"/>
              <w:right w:w="108" w:type="dxa"/>
            </w:tcMar>
          </w:tcPr>
          <w:p w14:paraId="3CBEF8C8" w14:textId="77777777" w:rsidR="004805A1" w:rsidRPr="00C85A27" w:rsidRDefault="004805A1">
            <w:pPr>
              <w:pStyle w:val="TableText"/>
              <w:rPr>
                <w:sz w:val="16"/>
                <w:szCs w:val="18"/>
              </w:rPr>
            </w:pPr>
            <w:r w:rsidRPr="00C85A27">
              <w:rPr>
                <w:sz w:val="16"/>
                <w:szCs w:val="18"/>
              </w:rPr>
              <w:t xml:space="preserve">1,231 </w:t>
            </w:r>
          </w:p>
        </w:tc>
        <w:tc>
          <w:tcPr>
            <w:tcW w:w="360" w:type="dxa"/>
          </w:tcPr>
          <w:p w14:paraId="055AD3B9" w14:textId="77777777" w:rsidR="004805A1" w:rsidRPr="00C85A27" w:rsidRDefault="004805A1">
            <w:pPr>
              <w:rPr>
                <w:sz w:val="16"/>
                <w:szCs w:val="18"/>
              </w:rPr>
            </w:pPr>
            <w:r w:rsidRPr="00C85A27">
              <w:rPr>
                <w:sz w:val="16"/>
                <w:szCs w:val="18"/>
              </w:rPr>
              <w:t xml:space="preserve"> </w:t>
            </w:r>
          </w:p>
        </w:tc>
      </w:tr>
      <w:tr w:rsidR="004805A1" w:rsidRPr="00C85A27" w14:paraId="4B8A8D19" w14:textId="77777777">
        <w:trPr>
          <w:trHeight w:val="142"/>
        </w:trPr>
        <w:tc>
          <w:tcPr>
            <w:tcW w:w="2977" w:type="dxa"/>
            <w:tcMar>
              <w:left w:w="108" w:type="dxa"/>
              <w:right w:w="108" w:type="dxa"/>
            </w:tcMar>
          </w:tcPr>
          <w:p w14:paraId="08790321" w14:textId="77777777" w:rsidR="004805A1" w:rsidRPr="00C85A27" w:rsidRDefault="004805A1">
            <w:pPr>
              <w:pStyle w:val="TableText"/>
              <w:rPr>
                <w:sz w:val="16"/>
                <w:szCs w:val="18"/>
              </w:rPr>
            </w:pPr>
            <w:r w:rsidRPr="00C85A27">
              <w:rPr>
                <w:sz w:val="16"/>
                <w:szCs w:val="18"/>
              </w:rPr>
              <w:t xml:space="preserve">CRICOS Registration </w:t>
            </w:r>
          </w:p>
        </w:tc>
        <w:tc>
          <w:tcPr>
            <w:tcW w:w="2410" w:type="dxa"/>
            <w:tcMar>
              <w:left w:w="108" w:type="dxa"/>
              <w:right w:w="108" w:type="dxa"/>
            </w:tcMar>
          </w:tcPr>
          <w:p w14:paraId="2579AED4" w14:textId="77777777" w:rsidR="004805A1" w:rsidRPr="00C85A27" w:rsidRDefault="004805A1">
            <w:pPr>
              <w:pStyle w:val="TableText"/>
              <w:rPr>
                <w:sz w:val="16"/>
                <w:szCs w:val="18"/>
              </w:rPr>
            </w:pPr>
            <w:r w:rsidRPr="00C85A27">
              <w:rPr>
                <w:sz w:val="16"/>
                <w:szCs w:val="18"/>
              </w:rPr>
              <w:t xml:space="preserve">$5,000 </w:t>
            </w:r>
          </w:p>
        </w:tc>
        <w:tc>
          <w:tcPr>
            <w:tcW w:w="1842" w:type="dxa"/>
            <w:tcMar>
              <w:left w:w="108" w:type="dxa"/>
              <w:right w:w="108" w:type="dxa"/>
            </w:tcMar>
          </w:tcPr>
          <w:p w14:paraId="4834CA70" w14:textId="77777777" w:rsidR="004805A1" w:rsidRPr="00C85A27" w:rsidRDefault="004805A1">
            <w:pPr>
              <w:pStyle w:val="TableText"/>
              <w:rPr>
                <w:sz w:val="16"/>
                <w:szCs w:val="18"/>
              </w:rPr>
            </w:pPr>
            <w:r w:rsidRPr="00C85A27">
              <w:rPr>
                <w:sz w:val="16"/>
                <w:szCs w:val="18"/>
              </w:rPr>
              <w:t xml:space="preserve">2 </w:t>
            </w:r>
          </w:p>
        </w:tc>
        <w:tc>
          <w:tcPr>
            <w:tcW w:w="1843" w:type="dxa"/>
            <w:tcMar>
              <w:left w:w="108" w:type="dxa"/>
              <w:right w:w="108" w:type="dxa"/>
            </w:tcMar>
          </w:tcPr>
          <w:p w14:paraId="2C471935" w14:textId="77777777" w:rsidR="004805A1" w:rsidRPr="00C85A27" w:rsidRDefault="004805A1">
            <w:pPr>
              <w:pStyle w:val="TableText"/>
              <w:rPr>
                <w:sz w:val="16"/>
                <w:szCs w:val="18"/>
              </w:rPr>
            </w:pPr>
            <w:r w:rsidRPr="00C85A27">
              <w:rPr>
                <w:sz w:val="16"/>
                <w:szCs w:val="18"/>
              </w:rPr>
              <w:t xml:space="preserve">10 </w:t>
            </w:r>
          </w:p>
        </w:tc>
        <w:tc>
          <w:tcPr>
            <w:tcW w:w="360" w:type="dxa"/>
          </w:tcPr>
          <w:p w14:paraId="3E9EDD05" w14:textId="77777777" w:rsidR="004805A1" w:rsidRPr="00C85A27" w:rsidRDefault="004805A1">
            <w:pPr>
              <w:rPr>
                <w:sz w:val="16"/>
                <w:szCs w:val="18"/>
              </w:rPr>
            </w:pPr>
            <w:r w:rsidRPr="00C85A27">
              <w:rPr>
                <w:sz w:val="16"/>
                <w:szCs w:val="18"/>
              </w:rPr>
              <w:t xml:space="preserve"> </w:t>
            </w:r>
          </w:p>
        </w:tc>
      </w:tr>
      <w:tr w:rsidR="004805A1" w:rsidRPr="00C85A27" w14:paraId="1D53CD81" w14:textId="77777777">
        <w:trPr>
          <w:trHeight w:val="143"/>
        </w:trPr>
        <w:tc>
          <w:tcPr>
            <w:tcW w:w="2977" w:type="dxa"/>
            <w:tcMar>
              <w:left w:w="108" w:type="dxa"/>
              <w:right w:w="108" w:type="dxa"/>
            </w:tcMar>
          </w:tcPr>
          <w:p w14:paraId="6F91EFB1" w14:textId="77777777" w:rsidR="004805A1" w:rsidRPr="00C85A27" w:rsidRDefault="004805A1">
            <w:pPr>
              <w:pStyle w:val="TableText"/>
              <w:rPr>
                <w:sz w:val="16"/>
                <w:szCs w:val="18"/>
              </w:rPr>
            </w:pPr>
            <w:r w:rsidRPr="00C85A27">
              <w:rPr>
                <w:sz w:val="16"/>
                <w:szCs w:val="18"/>
              </w:rPr>
              <w:t xml:space="preserve">CRICOS Re-Registration </w:t>
            </w:r>
          </w:p>
        </w:tc>
        <w:tc>
          <w:tcPr>
            <w:tcW w:w="2410" w:type="dxa"/>
            <w:tcMar>
              <w:left w:w="108" w:type="dxa"/>
              <w:right w:w="108" w:type="dxa"/>
            </w:tcMar>
          </w:tcPr>
          <w:p w14:paraId="4CA54233" w14:textId="77777777" w:rsidR="004805A1" w:rsidRPr="00C85A27" w:rsidRDefault="004805A1">
            <w:pPr>
              <w:pStyle w:val="TableText"/>
              <w:rPr>
                <w:sz w:val="16"/>
                <w:szCs w:val="18"/>
              </w:rPr>
            </w:pPr>
            <w:r w:rsidRPr="00C85A27">
              <w:rPr>
                <w:sz w:val="16"/>
                <w:szCs w:val="18"/>
              </w:rPr>
              <w:t xml:space="preserve">$5,000 </w:t>
            </w:r>
          </w:p>
        </w:tc>
        <w:tc>
          <w:tcPr>
            <w:tcW w:w="1842" w:type="dxa"/>
            <w:tcMar>
              <w:left w:w="108" w:type="dxa"/>
              <w:right w:w="108" w:type="dxa"/>
            </w:tcMar>
          </w:tcPr>
          <w:p w14:paraId="7AE983C1" w14:textId="77777777" w:rsidR="004805A1" w:rsidRPr="00C85A27" w:rsidRDefault="004805A1">
            <w:pPr>
              <w:pStyle w:val="TableText"/>
              <w:rPr>
                <w:sz w:val="16"/>
                <w:szCs w:val="18"/>
              </w:rPr>
            </w:pPr>
            <w:r w:rsidRPr="00C85A27">
              <w:rPr>
                <w:sz w:val="16"/>
                <w:szCs w:val="18"/>
              </w:rPr>
              <w:t xml:space="preserve">25 </w:t>
            </w:r>
          </w:p>
        </w:tc>
        <w:tc>
          <w:tcPr>
            <w:tcW w:w="1843" w:type="dxa"/>
            <w:tcMar>
              <w:left w:w="108" w:type="dxa"/>
              <w:right w:w="108" w:type="dxa"/>
            </w:tcMar>
          </w:tcPr>
          <w:p w14:paraId="6B706C29" w14:textId="77777777" w:rsidR="004805A1" w:rsidRPr="00C85A27" w:rsidRDefault="004805A1">
            <w:pPr>
              <w:pStyle w:val="TableText"/>
              <w:rPr>
                <w:sz w:val="16"/>
                <w:szCs w:val="18"/>
              </w:rPr>
            </w:pPr>
            <w:r w:rsidRPr="00C85A27">
              <w:rPr>
                <w:sz w:val="16"/>
                <w:szCs w:val="18"/>
              </w:rPr>
              <w:t xml:space="preserve">125 </w:t>
            </w:r>
          </w:p>
        </w:tc>
        <w:tc>
          <w:tcPr>
            <w:tcW w:w="360" w:type="dxa"/>
          </w:tcPr>
          <w:p w14:paraId="52F25435" w14:textId="77777777" w:rsidR="004805A1" w:rsidRPr="00C85A27" w:rsidRDefault="004805A1">
            <w:pPr>
              <w:rPr>
                <w:sz w:val="16"/>
                <w:szCs w:val="18"/>
              </w:rPr>
            </w:pPr>
            <w:r w:rsidRPr="00C85A27">
              <w:rPr>
                <w:sz w:val="16"/>
                <w:szCs w:val="18"/>
              </w:rPr>
              <w:t xml:space="preserve"> </w:t>
            </w:r>
          </w:p>
        </w:tc>
      </w:tr>
      <w:tr w:rsidR="004805A1" w:rsidRPr="00C85A27" w14:paraId="32FF840A" w14:textId="77777777">
        <w:trPr>
          <w:trHeight w:val="143"/>
        </w:trPr>
        <w:tc>
          <w:tcPr>
            <w:tcW w:w="2977" w:type="dxa"/>
            <w:tcMar>
              <w:left w:w="108" w:type="dxa"/>
              <w:right w:w="108" w:type="dxa"/>
            </w:tcMar>
          </w:tcPr>
          <w:p w14:paraId="35956413" w14:textId="77777777" w:rsidR="004805A1" w:rsidRPr="00C85A27" w:rsidRDefault="004805A1">
            <w:pPr>
              <w:pStyle w:val="TableText"/>
              <w:rPr>
                <w:sz w:val="16"/>
                <w:szCs w:val="18"/>
              </w:rPr>
            </w:pPr>
            <w:r w:rsidRPr="00C85A27">
              <w:rPr>
                <w:sz w:val="16"/>
                <w:szCs w:val="18"/>
              </w:rPr>
              <w:t xml:space="preserve">Other CRICOS Matters </w:t>
            </w:r>
          </w:p>
        </w:tc>
        <w:tc>
          <w:tcPr>
            <w:tcW w:w="2410" w:type="dxa"/>
            <w:tcMar>
              <w:left w:w="108" w:type="dxa"/>
              <w:right w:w="108" w:type="dxa"/>
            </w:tcMar>
          </w:tcPr>
          <w:p w14:paraId="3F2CF92E" w14:textId="77777777" w:rsidR="004805A1" w:rsidRPr="00C85A27" w:rsidRDefault="004805A1">
            <w:pPr>
              <w:pStyle w:val="TableText"/>
              <w:rPr>
                <w:sz w:val="16"/>
                <w:szCs w:val="18"/>
              </w:rPr>
            </w:pPr>
            <w:r w:rsidRPr="00C85A27">
              <w:rPr>
                <w:sz w:val="16"/>
                <w:szCs w:val="18"/>
              </w:rPr>
              <w:t xml:space="preserve">$2,500 for 2 specific changes </w:t>
            </w:r>
          </w:p>
        </w:tc>
        <w:tc>
          <w:tcPr>
            <w:tcW w:w="1842" w:type="dxa"/>
            <w:tcMar>
              <w:left w:w="108" w:type="dxa"/>
              <w:right w:w="108" w:type="dxa"/>
            </w:tcMar>
          </w:tcPr>
          <w:p w14:paraId="3B60301B" w14:textId="77777777" w:rsidR="004805A1" w:rsidRPr="00C85A27" w:rsidRDefault="004805A1">
            <w:pPr>
              <w:pStyle w:val="TableText"/>
              <w:rPr>
                <w:sz w:val="16"/>
                <w:szCs w:val="18"/>
              </w:rPr>
            </w:pPr>
            <w:r w:rsidRPr="00C85A27">
              <w:rPr>
                <w:sz w:val="16"/>
                <w:szCs w:val="18"/>
              </w:rPr>
              <w:t xml:space="preserve">28 </w:t>
            </w:r>
          </w:p>
        </w:tc>
        <w:tc>
          <w:tcPr>
            <w:tcW w:w="1843" w:type="dxa"/>
            <w:tcMar>
              <w:left w:w="108" w:type="dxa"/>
              <w:right w:w="108" w:type="dxa"/>
            </w:tcMar>
          </w:tcPr>
          <w:p w14:paraId="74223FD7" w14:textId="77777777" w:rsidR="004805A1" w:rsidRPr="00C85A27" w:rsidRDefault="004805A1">
            <w:pPr>
              <w:pStyle w:val="TableText"/>
              <w:rPr>
                <w:sz w:val="16"/>
                <w:szCs w:val="18"/>
              </w:rPr>
            </w:pPr>
            <w:r w:rsidRPr="00C85A27">
              <w:rPr>
                <w:sz w:val="16"/>
                <w:szCs w:val="18"/>
              </w:rPr>
              <w:t xml:space="preserve">70 </w:t>
            </w:r>
          </w:p>
        </w:tc>
        <w:tc>
          <w:tcPr>
            <w:tcW w:w="360" w:type="dxa"/>
          </w:tcPr>
          <w:p w14:paraId="60F8189C" w14:textId="77777777" w:rsidR="004805A1" w:rsidRPr="00C85A27" w:rsidRDefault="004805A1">
            <w:pPr>
              <w:rPr>
                <w:sz w:val="16"/>
                <w:szCs w:val="18"/>
              </w:rPr>
            </w:pPr>
            <w:r w:rsidRPr="00C85A27">
              <w:rPr>
                <w:sz w:val="16"/>
                <w:szCs w:val="18"/>
              </w:rPr>
              <w:t xml:space="preserve"> </w:t>
            </w:r>
          </w:p>
        </w:tc>
      </w:tr>
      <w:tr w:rsidR="004805A1" w:rsidRPr="00C85A27" w14:paraId="0F7933A0" w14:textId="77777777">
        <w:trPr>
          <w:trHeight w:val="266"/>
        </w:trPr>
        <w:tc>
          <w:tcPr>
            <w:tcW w:w="2977" w:type="dxa"/>
            <w:tcMar>
              <w:left w:w="108" w:type="dxa"/>
              <w:right w:w="108" w:type="dxa"/>
            </w:tcMar>
          </w:tcPr>
          <w:p w14:paraId="28D4FC1A" w14:textId="77777777" w:rsidR="004805A1" w:rsidRPr="00C85A27" w:rsidRDefault="004805A1">
            <w:pPr>
              <w:pStyle w:val="TableText"/>
              <w:rPr>
                <w:sz w:val="16"/>
                <w:szCs w:val="18"/>
              </w:rPr>
            </w:pPr>
            <w:r w:rsidRPr="00C85A27">
              <w:rPr>
                <w:sz w:val="16"/>
                <w:szCs w:val="18"/>
              </w:rPr>
              <w:t xml:space="preserve">Self-Accreditation Authority Fee </w:t>
            </w:r>
          </w:p>
        </w:tc>
        <w:tc>
          <w:tcPr>
            <w:tcW w:w="2410" w:type="dxa"/>
            <w:tcMar>
              <w:left w:w="108" w:type="dxa"/>
              <w:right w:w="108" w:type="dxa"/>
            </w:tcMar>
          </w:tcPr>
          <w:p w14:paraId="0DD84CB6" w14:textId="77777777" w:rsidR="004805A1" w:rsidRPr="00C85A27" w:rsidRDefault="004805A1">
            <w:pPr>
              <w:pStyle w:val="TableText"/>
              <w:rPr>
                <w:sz w:val="16"/>
                <w:szCs w:val="18"/>
              </w:rPr>
            </w:pPr>
            <w:r w:rsidRPr="00C85A27">
              <w:rPr>
                <w:sz w:val="16"/>
                <w:szCs w:val="18"/>
              </w:rPr>
              <w:t>Partial SAA ($0</w:t>
            </w:r>
            <w:r>
              <w:rPr>
                <w:sz w:val="16"/>
                <w:szCs w:val="18"/>
              </w:rPr>
              <w:t xml:space="preserve"> &amp; $10,000),</w:t>
            </w:r>
            <w:r>
              <w:rPr>
                <w:sz w:val="16"/>
                <w:szCs w:val="18"/>
              </w:rPr>
              <w:br/>
              <w:t>Full ($0 &amp; $22,000)</w:t>
            </w:r>
          </w:p>
        </w:tc>
        <w:tc>
          <w:tcPr>
            <w:tcW w:w="1842" w:type="dxa"/>
            <w:tcMar>
              <w:left w:w="108" w:type="dxa"/>
              <w:right w:w="108" w:type="dxa"/>
            </w:tcMar>
          </w:tcPr>
          <w:p w14:paraId="3E039EBC" w14:textId="77777777" w:rsidR="004805A1" w:rsidRPr="00C85A27" w:rsidRDefault="004805A1">
            <w:pPr>
              <w:pStyle w:val="TableText"/>
              <w:rPr>
                <w:sz w:val="16"/>
                <w:szCs w:val="18"/>
              </w:rPr>
            </w:pPr>
            <w:r w:rsidRPr="00C85A27">
              <w:rPr>
                <w:sz w:val="16"/>
                <w:szCs w:val="18"/>
              </w:rPr>
              <w:t xml:space="preserve">4 </w:t>
            </w:r>
          </w:p>
        </w:tc>
        <w:tc>
          <w:tcPr>
            <w:tcW w:w="1843" w:type="dxa"/>
            <w:tcMar>
              <w:left w:w="108" w:type="dxa"/>
              <w:right w:w="108" w:type="dxa"/>
            </w:tcMar>
          </w:tcPr>
          <w:p w14:paraId="2BED6A1D" w14:textId="77777777" w:rsidR="004805A1" w:rsidRPr="00C85A27" w:rsidRDefault="004805A1">
            <w:pPr>
              <w:pStyle w:val="TableText"/>
              <w:rPr>
                <w:sz w:val="16"/>
                <w:szCs w:val="18"/>
              </w:rPr>
            </w:pPr>
            <w:r w:rsidRPr="00C85A27">
              <w:rPr>
                <w:sz w:val="16"/>
                <w:szCs w:val="18"/>
              </w:rPr>
              <w:t xml:space="preserve">88 </w:t>
            </w:r>
          </w:p>
        </w:tc>
        <w:tc>
          <w:tcPr>
            <w:tcW w:w="360" w:type="dxa"/>
          </w:tcPr>
          <w:p w14:paraId="4E0CAFE1" w14:textId="77777777" w:rsidR="004805A1" w:rsidRPr="00C85A27" w:rsidRDefault="004805A1">
            <w:pPr>
              <w:rPr>
                <w:sz w:val="16"/>
                <w:szCs w:val="18"/>
              </w:rPr>
            </w:pPr>
            <w:r w:rsidRPr="00C85A27">
              <w:rPr>
                <w:sz w:val="16"/>
                <w:szCs w:val="18"/>
              </w:rPr>
              <w:t xml:space="preserve"> </w:t>
            </w:r>
          </w:p>
        </w:tc>
      </w:tr>
      <w:tr w:rsidR="004805A1" w:rsidRPr="00C85A27" w14:paraId="5FF44DFE" w14:textId="77777777" w:rsidTr="00925C59">
        <w:trPr>
          <w:trHeight w:val="271"/>
        </w:trPr>
        <w:tc>
          <w:tcPr>
            <w:tcW w:w="2859" w:type="dxa"/>
          </w:tcPr>
          <w:p w14:paraId="76B10E29" w14:textId="77777777" w:rsidR="004805A1" w:rsidRPr="000C4A71" w:rsidRDefault="004805A1" w:rsidP="00925C59">
            <w:pPr>
              <w:pStyle w:val="TableText"/>
              <w:rPr>
                <w:b/>
                <w:color w:val="0082AB"/>
                <w:sz w:val="18"/>
                <w:szCs w:val="18"/>
              </w:rPr>
            </w:pPr>
            <w:r w:rsidRPr="000C4A71">
              <w:rPr>
                <w:b/>
                <w:color w:val="0082AB"/>
                <w:sz w:val="18"/>
                <w:szCs w:val="18"/>
              </w:rPr>
              <w:t xml:space="preserve">Application </w:t>
            </w:r>
          </w:p>
        </w:tc>
        <w:tc>
          <w:tcPr>
            <w:tcW w:w="2318" w:type="dxa"/>
          </w:tcPr>
          <w:p w14:paraId="017942E5" w14:textId="77777777" w:rsidR="004805A1" w:rsidRPr="000C4A71" w:rsidRDefault="004805A1" w:rsidP="00925C59">
            <w:pPr>
              <w:pStyle w:val="TableText"/>
              <w:rPr>
                <w:b/>
                <w:color w:val="0082AB"/>
                <w:sz w:val="18"/>
                <w:szCs w:val="18"/>
              </w:rPr>
            </w:pPr>
            <w:r w:rsidRPr="000C4A71">
              <w:rPr>
                <w:b/>
                <w:color w:val="0082AB"/>
                <w:sz w:val="18"/>
                <w:szCs w:val="18"/>
              </w:rPr>
              <w:t xml:space="preserve">Fees ($) </w:t>
            </w:r>
          </w:p>
        </w:tc>
        <w:tc>
          <w:tcPr>
            <w:tcW w:w="1774" w:type="dxa"/>
          </w:tcPr>
          <w:p w14:paraId="2407F262" w14:textId="77777777" w:rsidR="004805A1" w:rsidRPr="000C4A71" w:rsidRDefault="004805A1" w:rsidP="00925C59">
            <w:pPr>
              <w:pStyle w:val="TableText"/>
              <w:rPr>
                <w:b/>
                <w:color w:val="0082AB"/>
                <w:sz w:val="18"/>
                <w:szCs w:val="18"/>
              </w:rPr>
            </w:pPr>
            <w:r w:rsidRPr="000C4A71">
              <w:rPr>
                <w:b/>
                <w:color w:val="0082AB"/>
                <w:sz w:val="18"/>
                <w:szCs w:val="18"/>
              </w:rPr>
              <w:t xml:space="preserve">No. of Applications </w:t>
            </w:r>
          </w:p>
        </w:tc>
        <w:tc>
          <w:tcPr>
            <w:tcW w:w="1775" w:type="dxa"/>
          </w:tcPr>
          <w:p w14:paraId="5FEA4D00" w14:textId="77777777" w:rsidR="004805A1" w:rsidRPr="000C4A71" w:rsidRDefault="004805A1" w:rsidP="00925C59">
            <w:pPr>
              <w:pStyle w:val="TableText"/>
              <w:rPr>
                <w:b/>
                <w:color w:val="0082AB"/>
                <w:sz w:val="18"/>
                <w:szCs w:val="18"/>
              </w:rPr>
            </w:pPr>
            <w:r w:rsidRPr="000C4A71">
              <w:rPr>
                <w:b/>
                <w:color w:val="0082AB"/>
                <w:sz w:val="18"/>
                <w:szCs w:val="18"/>
              </w:rPr>
              <w:t xml:space="preserve">Revenue </w:t>
            </w:r>
            <w:r w:rsidRPr="000C4A71">
              <w:rPr>
                <w:b/>
                <w:color w:val="0082AB"/>
                <w:sz w:val="18"/>
                <w:szCs w:val="18"/>
              </w:rPr>
              <w:br/>
              <w:t>($000)</w:t>
            </w:r>
          </w:p>
        </w:tc>
        <w:tc>
          <w:tcPr>
            <w:tcW w:w="346" w:type="dxa"/>
          </w:tcPr>
          <w:p w14:paraId="3A98F592" w14:textId="77777777" w:rsidR="004805A1" w:rsidRPr="00C85A27" w:rsidRDefault="004805A1">
            <w:pPr>
              <w:rPr>
                <w:b/>
                <w:color w:val="002469"/>
                <w:sz w:val="18"/>
                <w:szCs w:val="18"/>
              </w:rPr>
            </w:pPr>
            <w:r w:rsidRPr="00C85A27">
              <w:rPr>
                <w:b/>
                <w:color w:val="002469"/>
                <w:sz w:val="18"/>
                <w:szCs w:val="18"/>
              </w:rPr>
              <w:t xml:space="preserve"> </w:t>
            </w:r>
          </w:p>
        </w:tc>
      </w:tr>
      <w:tr w:rsidR="004805A1" w:rsidRPr="00C85A27" w14:paraId="3A60F09A" w14:textId="77777777" w:rsidTr="00925C59">
        <w:trPr>
          <w:trHeight w:val="143"/>
        </w:trPr>
        <w:tc>
          <w:tcPr>
            <w:tcW w:w="2859" w:type="dxa"/>
          </w:tcPr>
          <w:p w14:paraId="1911A7E0" w14:textId="77777777" w:rsidR="004805A1" w:rsidRPr="00C85A27" w:rsidRDefault="004805A1" w:rsidP="00925C59">
            <w:pPr>
              <w:pStyle w:val="TableText"/>
              <w:rPr>
                <w:sz w:val="16"/>
                <w:szCs w:val="18"/>
              </w:rPr>
            </w:pPr>
            <w:r w:rsidRPr="00C85A27">
              <w:rPr>
                <w:sz w:val="16"/>
                <w:szCs w:val="18"/>
              </w:rPr>
              <w:t xml:space="preserve">Initial Provider Registration </w:t>
            </w:r>
          </w:p>
        </w:tc>
        <w:tc>
          <w:tcPr>
            <w:tcW w:w="2318" w:type="dxa"/>
          </w:tcPr>
          <w:p w14:paraId="5561FAF0" w14:textId="77777777" w:rsidR="004805A1" w:rsidRPr="00C85A27" w:rsidRDefault="004805A1" w:rsidP="00925C59">
            <w:pPr>
              <w:pStyle w:val="TableText"/>
              <w:rPr>
                <w:sz w:val="16"/>
                <w:szCs w:val="18"/>
              </w:rPr>
            </w:pPr>
            <w:r w:rsidRPr="00C85A27">
              <w:rPr>
                <w:sz w:val="16"/>
                <w:szCs w:val="18"/>
              </w:rPr>
              <w:t xml:space="preserve">$22,000 &amp; $85,000 </w:t>
            </w:r>
          </w:p>
        </w:tc>
        <w:tc>
          <w:tcPr>
            <w:tcW w:w="1774" w:type="dxa"/>
          </w:tcPr>
          <w:p w14:paraId="2AE4BCBB" w14:textId="77777777" w:rsidR="004805A1" w:rsidRPr="00C85A27" w:rsidRDefault="004805A1" w:rsidP="00925C59">
            <w:pPr>
              <w:pStyle w:val="TableText"/>
              <w:rPr>
                <w:sz w:val="16"/>
                <w:szCs w:val="18"/>
              </w:rPr>
            </w:pPr>
            <w:r w:rsidRPr="00C85A27">
              <w:rPr>
                <w:sz w:val="16"/>
                <w:szCs w:val="18"/>
              </w:rPr>
              <w:t xml:space="preserve">18 </w:t>
            </w:r>
          </w:p>
        </w:tc>
        <w:tc>
          <w:tcPr>
            <w:tcW w:w="1775" w:type="dxa"/>
          </w:tcPr>
          <w:p w14:paraId="242908DC" w14:textId="77777777" w:rsidR="004805A1" w:rsidRPr="00C85A27" w:rsidRDefault="004805A1" w:rsidP="00925C59">
            <w:pPr>
              <w:pStyle w:val="TableText"/>
              <w:rPr>
                <w:sz w:val="16"/>
                <w:szCs w:val="18"/>
              </w:rPr>
            </w:pPr>
            <w:r w:rsidRPr="00C85A27">
              <w:rPr>
                <w:sz w:val="16"/>
                <w:szCs w:val="18"/>
              </w:rPr>
              <w:t xml:space="preserve">396 </w:t>
            </w:r>
          </w:p>
        </w:tc>
        <w:tc>
          <w:tcPr>
            <w:tcW w:w="346" w:type="dxa"/>
          </w:tcPr>
          <w:p w14:paraId="554598DE" w14:textId="77777777" w:rsidR="004805A1" w:rsidRPr="00C85A27" w:rsidRDefault="004805A1">
            <w:pPr>
              <w:rPr>
                <w:sz w:val="16"/>
                <w:szCs w:val="18"/>
              </w:rPr>
            </w:pPr>
            <w:r w:rsidRPr="00C85A27">
              <w:rPr>
                <w:sz w:val="16"/>
                <w:szCs w:val="18"/>
              </w:rPr>
              <w:t xml:space="preserve"> </w:t>
            </w:r>
          </w:p>
        </w:tc>
      </w:tr>
      <w:tr w:rsidR="004805A1" w:rsidRPr="00C85A27" w14:paraId="33FB09EE" w14:textId="77777777" w:rsidTr="00925C59">
        <w:trPr>
          <w:trHeight w:val="143"/>
        </w:trPr>
        <w:tc>
          <w:tcPr>
            <w:tcW w:w="2859" w:type="dxa"/>
          </w:tcPr>
          <w:p w14:paraId="6A065849" w14:textId="77777777" w:rsidR="004805A1" w:rsidRPr="00C85A27" w:rsidRDefault="004805A1" w:rsidP="00925C59">
            <w:pPr>
              <w:pStyle w:val="TableText"/>
              <w:rPr>
                <w:sz w:val="16"/>
                <w:szCs w:val="18"/>
              </w:rPr>
            </w:pPr>
            <w:r w:rsidRPr="00C85A27">
              <w:rPr>
                <w:sz w:val="16"/>
                <w:szCs w:val="18"/>
              </w:rPr>
              <w:t xml:space="preserve">Renewal of Provider Registration </w:t>
            </w:r>
          </w:p>
        </w:tc>
        <w:tc>
          <w:tcPr>
            <w:tcW w:w="2318" w:type="dxa"/>
          </w:tcPr>
          <w:p w14:paraId="1075C7FB" w14:textId="77777777" w:rsidR="004805A1" w:rsidRPr="00C85A27" w:rsidRDefault="004805A1" w:rsidP="00925C59">
            <w:pPr>
              <w:pStyle w:val="TableText"/>
              <w:rPr>
                <w:sz w:val="16"/>
                <w:szCs w:val="18"/>
              </w:rPr>
            </w:pPr>
            <w:r w:rsidRPr="00C85A27">
              <w:rPr>
                <w:sz w:val="16"/>
                <w:szCs w:val="18"/>
              </w:rPr>
              <w:t xml:space="preserve">$20,000 &amp; $75,000 </w:t>
            </w:r>
          </w:p>
        </w:tc>
        <w:tc>
          <w:tcPr>
            <w:tcW w:w="1774" w:type="dxa"/>
          </w:tcPr>
          <w:p w14:paraId="1185AB66" w14:textId="77777777" w:rsidR="004805A1" w:rsidRPr="00C85A27" w:rsidRDefault="004805A1" w:rsidP="00925C59">
            <w:pPr>
              <w:pStyle w:val="TableText"/>
              <w:rPr>
                <w:sz w:val="16"/>
                <w:szCs w:val="18"/>
              </w:rPr>
            </w:pPr>
            <w:r w:rsidRPr="00C85A27">
              <w:rPr>
                <w:sz w:val="16"/>
                <w:szCs w:val="18"/>
              </w:rPr>
              <w:t xml:space="preserve">38 </w:t>
            </w:r>
          </w:p>
        </w:tc>
        <w:tc>
          <w:tcPr>
            <w:tcW w:w="1775" w:type="dxa"/>
          </w:tcPr>
          <w:p w14:paraId="500D18E8" w14:textId="77777777" w:rsidR="004805A1" w:rsidRPr="00C85A27" w:rsidRDefault="004805A1" w:rsidP="00925C59">
            <w:pPr>
              <w:pStyle w:val="TableText"/>
              <w:rPr>
                <w:sz w:val="16"/>
                <w:szCs w:val="18"/>
              </w:rPr>
            </w:pPr>
            <w:r w:rsidRPr="00C85A27">
              <w:rPr>
                <w:sz w:val="16"/>
                <w:szCs w:val="18"/>
              </w:rPr>
              <w:t xml:space="preserve">1,310 </w:t>
            </w:r>
          </w:p>
        </w:tc>
        <w:tc>
          <w:tcPr>
            <w:tcW w:w="346" w:type="dxa"/>
          </w:tcPr>
          <w:p w14:paraId="2181669B" w14:textId="77777777" w:rsidR="004805A1" w:rsidRPr="00C85A27" w:rsidRDefault="004805A1">
            <w:pPr>
              <w:rPr>
                <w:sz w:val="16"/>
                <w:szCs w:val="18"/>
              </w:rPr>
            </w:pPr>
            <w:r w:rsidRPr="00C85A27">
              <w:rPr>
                <w:sz w:val="16"/>
                <w:szCs w:val="18"/>
              </w:rPr>
              <w:t xml:space="preserve"> </w:t>
            </w:r>
          </w:p>
        </w:tc>
      </w:tr>
      <w:tr w:rsidR="004805A1" w:rsidRPr="00C85A27" w14:paraId="40B8BBF7" w14:textId="77777777" w:rsidTr="00925C59">
        <w:trPr>
          <w:trHeight w:val="266"/>
        </w:trPr>
        <w:tc>
          <w:tcPr>
            <w:tcW w:w="2859" w:type="dxa"/>
          </w:tcPr>
          <w:p w14:paraId="7C4A187A" w14:textId="77777777" w:rsidR="004805A1" w:rsidRPr="00C85A27" w:rsidRDefault="004805A1" w:rsidP="00925C59">
            <w:pPr>
              <w:pStyle w:val="TableText"/>
              <w:rPr>
                <w:sz w:val="16"/>
                <w:szCs w:val="18"/>
              </w:rPr>
            </w:pPr>
            <w:r w:rsidRPr="00C85A27">
              <w:rPr>
                <w:sz w:val="16"/>
                <w:szCs w:val="18"/>
              </w:rPr>
              <w:lastRenderedPageBreak/>
              <w:t xml:space="preserve">Initial Course Accreditation </w:t>
            </w:r>
          </w:p>
        </w:tc>
        <w:tc>
          <w:tcPr>
            <w:tcW w:w="2318" w:type="dxa"/>
          </w:tcPr>
          <w:p w14:paraId="419A0E29" w14:textId="77777777" w:rsidR="004805A1" w:rsidRPr="00C85A27" w:rsidRDefault="004805A1" w:rsidP="00925C59">
            <w:pPr>
              <w:pStyle w:val="TableText"/>
              <w:rPr>
                <w:sz w:val="16"/>
                <w:szCs w:val="18"/>
              </w:rPr>
            </w:pPr>
            <w:r w:rsidRPr="00C85A27">
              <w:rPr>
                <w:sz w:val="16"/>
                <w:szCs w:val="18"/>
              </w:rPr>
              <w:t xml:space="preserve">$9,000 (1st course/app.), </w:t>
            </w:r>
            <w:r>
              <w:rPr>
                <w:sz w:val="16"/>
                <w:szCs w:val="18"/>
              </w:rPr>
              <w:br/>
            </w:r>
            <w:r w:rsidRPr="00C85A27">
              <w:rPr>
                <w:sz w:val="16"/>
                <w:szCs w:val="18"/>
              </w:rPr>
              <w:t xml:space="preserve">$6,300 (2nd course+/app.) </w:t>
            </w:r>
          </w:p>
        </w:tc>
        <w:tc>
          <w:tcPr>
            <w:tcW w:w="1774" w:type="dxa"/>
          </w:tcPr>
          <w:p w14:paraId="4E1E0EE3" w14:textId="77777777" w:rsidR="004805A1" w:rsidRPr="00C85A27" w:rsidRDefault="004805A1" w:rsidP="00925C59">
            <w:pPr>
              <w:pStyle w:val="TableText"/>
              <w:rPr>
                <w:sz w:val="16"/>
                <w:szCs w:val="18"/>
              </w:rPr>
            </w:pPr>
            <w:r w:rsidRPr="00C85A27">
              <w:rPr>
                <w:sz w:val="16"/>
                <w:szCs w:val="18"/>
              </w:rPr>
              <w:t xml:space="preserve">157 </w:t>
            </w:r>
          </w:p>
        </w:tc>
        <w:tc>
          <w:tcPr>
            <w:tcW w:w="1775" w:type="dxa"/>
          </w:tcPr>
          <w:p w14:paraId="722E0C0E" w14:textId="77777777" w:rsidR="004805A1" w:rsidRPr="00C85A27" w:rsidRDefault="004805A1" w:rsidP="00925C59">
            <w:pPr>
              <w:pStyle w:val="TableText"/>
              <w:rPr>
                <w:sz w:val="16"/>
                <w:szCs w:val="18"/>
              </w:rPr>
            </w:pPr>
            <w:r w:rsidRPr="00C85A27">
              <w:rPr>
                <w:sz w:val="16"/>
                <w:szCs w:val="18"/>
              </w:rPr>
              <w:t xml:space="preserve">1,151 </w:t>
            </w:r>
          </w:p>
        </w:tc>
        <w:tc>
          <w:tcPr>
            <w:tcW w:w="346" w:type="dxa"/>
          </w:tcPr>
          <w:p w14:paraId="6B915D02" w14:textId="77777777" w:rsidR="004805A1" w:rsidRPr="00C85A27" w:rsidRDefault="004805A1">
            <w:pPr>
              <w:rPr>
                <w:sz w:val="16"/>
                <w:szCs w:val="18"/>
              </w:rPr>
            </w:pPr>
            <w:r w:rsidRPr="00C85A27">
              <w:rPr>
                <w:sz w:val="16"/>
                <w:szCs w:val="18"/>
              </w:rPr>
              <w:t xml:space="preserve"> </w:t>
            </w:r>
          </w:p>
        </w:tc>
      </w:tr>
      <w:tr w:rsidR="004805A1" w:rsidRPr="00C85A27" w14:paraId="0A0FB7AB" w14:textId="77777777" w:rsidTr="00925C59">
        <w:trPr>
          <w:trHeight w:val="412"/>
        </w:trPr>
        <w:tc>
          <w:tcPr>
            <w:tcW w:w="2859" w:type="dxa"/>
          </w:tcPr>
          <w:p w14:paraId="42AA1388" w14:textId="77777777" w:rsidR="004805A1" w:rsidRPr="00C85A27" w:rsidRDefault="004805A1" w:rsidP="00925C59">
            <w:pPr>
              <w:pStyle w:val="TableText"/>
              <w:rPr>
                <w:sz w:val="16"/>
                <w:szCs w:val="18"/>
              </w:rPr>
            </w:pPr>
            <w:r w:rsidRPr="00C85A27">
              <w:rPr>
                <w:sz w:val="16"/>
                <w:szCs w:val="18"/>
              </w:rPr>
              <w:t xml:space="preserve">Renewal of Course Accreditation </w:t>
            </w:r>
          </w:p>
        </w:tc>
        <w:tc>
          <w:tcPr>
            <w:tcW w:w="2318" w:type="dxa"/>
          </w:tcPr>
          <w:p w14:paraId="11BC2159" w14:textId="77777777" w:rsidR="004805A1" w:rsidRPr="00C85A27" w:rsidRDefault="004805A1" w:rsidP="00925C59">
            <w:pPr>
              <w:pStyle w:val="TableText"/>
              <w:rPr>
                <w:sz w:val="16"/>
                <w:szCs w:val="18"/>
              </w:rPr>
            </w:pPr>
            <w:r w:rsidRPr="00C85A27">
              <w:rPr>
                <w:sz w:val="16"/>
                <w:szCs w:val="18"/>
              </w:rPr>
              <w:t xml:space="preserve">$8,000 (1st course/app.), </w:t>
            </w:r>
            <w:r>
              <w:rPr>
                <w:sz w:val="16"/>
                <w:szCs w:val="18"/>
              </w:rPr>
              <w:br/>
            </w:r>
            <w:r w:rsidRPr="00C85A27">
              <w:rPr>
                <w:sz w:val="16"/>
                <w:szCs w:val="18"/>
              </w:rPr>
              <w:t xml:space="preserve">$5,600 (2nd course+/app.), </w:t>
            </w:r>
            <w:r>
              <w:rPr>
                <w:sz w:val="16"/>
                <w:szCs w:val="18"/>
              </w:rPr>
              <w:br/>
            </w:r>
            <w:r w:rsidRPr="00C85A27">
              <w:rPr>
                <w:sz w:val="16"/>
                <w:szCs w:val="18"/>
              </w:rPr>
              <w:t xml:space="preserve">$1,000 (teach out) </w:t>
            </w:r>
          </w:p>
        </w:tc>
        <w:tc>
          <w:tcPr>
            <w:tcW w:w="1774" w:type="dxa"/>
          </w:tcPr>
          <w:p w14:paraId="79581E1B" w14:textId="77777777" w:rsidR="004805A1" w:rsidRPr="00C85A27" w:rsidRDefault="004805A1" w:rsidP="00925C59">
            <w:pPr>
              <w:pStyle w:val="TableText"/>
              <w:rPr>
                <w:sz w:val="16"/>
                <w:szCs w:val="18"/>
              </w:rPr>
            </w:pPr>
            <w:r w:rsidRPr="00C85A27">
              <w:rPr>
                <w:sz w:val="16"/>
                <w:szCs w:val="18"/>
              </w:rPr>
              <w:t xml:space="preserve">207 </w:t>
            </w:r>
          </w:p>
        </w:tc>
        <w:tc>
          <w:tcPr>
            <w:tcW w:w="1775" w:type="dxa"/>
          </w:tcPr>
          <w:p w14:paraId="4487FCA7" w14:textId="77777777" w:rsidR="004805A1" w:rsidRPr="00C85A27" w:rsidRDefault="004805A1" w:rsidP="00925C59">
            <w:pPr>
              <w:pStyle w:val="TableText"/>
              <w:rPr>
                <w:sz w:val="16"/>
                <w:szCs w:val="18"/>
              </w:rPr>
            </w:pPr>
            <w:r w:rsidRPr="00C85A27">
              <w:rPr>
                <w:sz w:val="16"/>
                <w:szCs w:val="18"/>
              </w:rPr>
              <w:t xml:space="preserve">1,231 </w:t>
            </w:r>
          </w:p>
        </w:tc>
        <w:tc>
          <w:tcPr>
            <w:tcW w:w="346" w:type="dxa"/>
          </w:tcPr>
          <w:p w14:paraId="2FF45C79" w14:textId="77777777" w:rsidR="004805A1" w:rsidRPr="00C85A27" w:rsidRDefault="004805A1">
            <w:pPr>
              <w:rPr>
                <w:sz w:val="16"/>
                <w:szCs w:val="18"/>
              </w:rPr>
            </w:pPr>
            <w:r w:rsidRPr="00C85A27">
              <w:rPr>
                <w:sz w:val="16"/>
                <w:szCs w:val="18"/>
              </w:rPr>
              <w:t xml:space="preserve"> </w:t>
            </w:r>
          </w:p>
        </w:tc>
      </w:tr>
      <w:tr w:rsidR="004805A1" w:rsidRPr="00C85A27" w14:paraId="1805D2CC" w14:textId="77777777" w:rsidTr="00925C59">
        <w:trPr>
          <w:trHeight w:val="142"/>
        </w:trPr>
        <w:tc>
          <w:tcPr>
            <w:tcW w:w="2859" w:type="dxa"/>
          </w:tcPr>
          <w:p w14:paraId="4C8C6493" w14:textId="77777777" w:rsidR="004805A1" w:rsidRPr="00C85A27" w:rsidRDefault="004805A1" w:rsidP="00925C59">
            <w:pPr>
              <w:pStyle w:val="TableText"/>
              <w:rPr>
                <w:sz w:val="16"/>
                <w:szCs w:val="18"/>
              </w:rPr>
            </w:pPr>
            <w:r w:rsidRPr="00C85A27">
              <w:rPr>
                <w:sz w:val="16"/>
                <w:szCs w:val="18"/>
              </w:rPr>
              <w:t xml:space="preserve">CRICOS Registration </w:t>
            </w:r>
          </w:p>
        </w:tc>
        <w:tc>
          <w:tcPr>
            <w:tcW w:w="2318" w:type="dxa"/>
          </w:tcPr>
          <w:p w14:paraId="40FB3458" w14:textId="77777777" w:rsidR="004805A1" w:rsidRPr="00C85A27" w:rsidRDefault="004805A1" w:rsidP="00925C59">
            <w:pPr>
              <w:pStyle w:val="TableText"/>
              <w:rPr>
                <w:sz w:val="16"/>
                <w:szCs w:val="18"/>
              </w:rPr>
            </w:pPr>
            <w:r w:rsidRPr="00C85A27">
              <w:rPr>
                <w:sz w:val="16"/>
                <w:szCs w:val="18"/>
              </w:rPr>
              <w:t xml:space="preserve">$5,000 </w:t>
            </w:r>
          </w:p>
        </w:tc>
        <w:tc>
          <w:tcPr>
            <w:tcW w:w="1774" w:type="dxa"/>
          </w:tcPr>
          <w:p w14:paraId="0013DEC0" w14:textId="77777777" w:rsidR="004805A1" w:rsidRPr="00C85A27" w:rsidRDefault="004805A1" w:rsidP="00925C59">
            <w:pPr>
              <w:pStyle w:val="TableText"/>
              <w:rPr>
                <w:sz w:val="16"/>
                <w:szCs w:val="18"/>
              </w:rPr>
            </w:pPr>
            <w:r w:rsidRPr="00C85A27">
              <w:rPr>
                <w:sz w:val="16"/>
                <w:szCs w:val="18"/>
              </w:rPr>
              <w:t xml:space="preserve">2 </w:t>
            </w:r>
          </w:p>
        </w:tc>
        <w:tc>
          <w:tcPr>
            <w:tcW w:w="1775" w:type="dxa"/>
          </w:tcPr>
          <w:p w14:paraId="155529DE" w14:textId="77777777" w:rsidR="004805A1" w:rsidRPr="00C85A27" w:rsidRDefault="004805A1" w:rsidP="00925C59">
            <w:pPr>
              <w:pStyle w:val="TableText"/>
              <w:rPr>
                <w:sz w:val="16"/>
                <w:szCs w:val="18"/>
              </w:rPr>
            </w:pPr>
            <w:r w:rsidRPr="00C85A27">
              <w:rPr>
                <w:sz w:val="16"/>
                <w:szCs w:val="18"/>
              </w:rPr>
              <w:t xml:space="preserve">10 </w:t>
            </w:r>
          </w:p>
        </w:tc>
        <w:tc>
          <w:tcPr>
            <w:tcW w:w="346" w:type="dxa"/>
          </w:tcPr>
          <w:p w14:paraId="7F33F360" w14:textId="77777777" w:rsidR="004805A1" w:rsidRPr="00C85A27" w:rsidRDefault="004805A1">
            <w:pPr>
              <w:rPr>
                <w:sz w:val="16"/>
                <w:szCs w:val="18"/>
              </w:rPr>
            </w:pPr>
            <w:r w:rsidRPr="00C85A27">
              <w:rPr>
                <w:sz w:val="16"/>
                <w:szCs w:val="18"/>
              </w:rPr>
              <w:t xml:space="preserve"> </w:t>
            </w:r>
          </w:p>
        </w:tc>
      </w:tr>
      <w:tr w:rsidR="004805A1" w:rsidRPr="00C85A27" w14:paraId="32748E03" w14:textId="77777777" w:rsidTr="00925C59">
        <w:trPr>
          <w:trHeight w:val="143"/>
        </w:trPr>
        <w:tc>
          <w:tcPr>
            <w:tcW w:w="2859" w:type="dxa"/>
          </w:tcPr>
          <w:p w14:paraId="070CAD8C" w14:textId="77777777" w:rsidR="004805A1" w:rsidRPr="00C85A27" w:rsidRDefault="004805A1" w:rsidP="00925C59">
            <w:pPr>
              <w:pStyle w:val="TableText"/>
              <w:rPr>
                <w:sz w:val="16"/>
                <w:szCs w:val="18"/>
              </w:rPr>
            </w:pPr>
            <w:r w:rsidRPr="00C85A27">
              <w:rPr>
                <w:sz w:val="16"/>
                <w:szCs w:val="18"/>
              </w:rPr>
              <w:t xml:space="preserve">CRICOS Re-Registration </w:t>
            </w:r>
          </w:p>
        </w:tc>
        <w:tc>
          <w:tcPr>
            <w:tcW w:w="2318" w:type="dxa"/>
          </w:tcPr>
          <w:p w14:paraId="0C6A8517" w14:textId="77777777" w:rsidR="004805A1" w:rsidRPr="00C85A27" w:rsidRDefault="004805A1" w:rsidP="00925C59">
            <w:pPr>
              <w:pStyle w:val="TableText"/>
              <w:rPr>
                <w:sz w:val="16"/>
                <w:szCs w:val="18"/>
              </w:rPr>
            </w:pPr>
            <w:r w:rsidRPr="00C85A27">
              <w:rPr>
                <w:sz w:val="16"/>
                <w:szCs w:val="18"/>
              </w:rPr>
              <w:t xml:space="preserve">$5,000 </w:t>
            </w:r>
          </w:p>
        </w:tc>
        <w:tc>
          <w:tcPr>
            <w:tcW w:w="1774" w:type="dxa"/>
          </w:tcPr>
          <w:p w14:paraId="6D8083CB" w14:textId="77777777" w:rsidR="004805A1" w:rsidRPr="00C85A27" w:rsidRDefault="004805A1" w:rsidP="00925C59">
            <w:pPr>
              <w:pStyle w:val="TableText"/>
              <w:rPr>
                <w:sz w:val="16"/>
                <w:szCs w:val="18"/>
              </w:rPr>
            </w:pPr>
            <w:r w:rsidRPr="00C85A27">
              <w:rPr>
                <w:sz w:val="16"/>
                <w:szCs w:val="18"/>
              </w:rPr>
              <w:t xml:space="preserve">25 </w:t>
            </w:r>
          </w:p>
        </w:tc>
        <w:tc>
          <w:tcPr>
            <w:tcW w:w="1775" w:type="dxa"/>
          </w:tcPr>
          <w:p w14:paraId="764CE4AD" w14:textId="77777777" w:rsidR="004805A1" w:rsidRPr="00C85A27" w:rsidRDefault="004805A1" w:rsidP="00925C59">
            <w:pPr>
              <w:pStyle w:val="TableText"/>
              <w:rPr>
                <w:sz w:val="16"/>
                <w:szCs w:val="18"/>
              </w:rPr>
            </w:pPr>
            <w:r w:rsidRPr="00C85A27">
              <w:rPr>
                <w:sz w:val="16"/>
                <w:szCs w:val="18"/>
              </w:rPr>
              <w:t xml:space="preserve">125 </w:t>
            </w:r>
          </w:p>
        </w:tc>
        <w:tc>
          <w:tcPr>
            <w:tcW w:w="346" w:type="dxa"/>
          </w:tcPr>
          <w:p w14:paraId="7EEDAA45" w14:textId="77777777" w:rsidR="004805A1" w:rsidRPr="00C85A27" w:rsidRDefault="004805A1">
            <w:pPr>
              <w:rPr>
                <w:sz w:val="16"/>
                <w:szCs w:val="18"/>
              </w:rPr>
            </w:pPr>
            <w:r w:rsidRPr="00C85A27">
              <w:rPr>
                <w:sz w:val="16"/>
                <w:szCs w:val="18"/>
              </w:rPr>
              <w:t xml:space="preserve"> </w:t>
            </w:r>
          </w:p>
        </w:tc>
      </w:tr>
      <w:tr w:rsidR="004805A1" w:rsidRPr="00C85A27" w14:paraId="3C78E1E1" w14:textId="77777777" w:rsidTr="00925C59">
        <w:trPr>
          <w:trHeight w:val="143"/>
        </w:trPr>
        <w:tc>
          <w:tcPr>
            <w:tcW w:w="2859" w:type="dxa"/>
          </w:tcPr>
          <w:p w14:paraId="7EAA08C8" w14:textId="77777777" w:rsidR="004805A1" w:rsidRPr="00C85A27" w:rsidRDefault="004805A1" w:rsidP="00925C59">
            <w:pPr>
              <w:pStyle w:val="TableText"/>
              <w:rPr>
                <w:sz w:val="16"/>
                <w:szCs w:val="18"/>
              </w:rPr>
            </w:pPr>
            <w:r w:rsidRPr="00C85A27">
              <w:rPr>
                <w:sz w:val="16"/>
                <w:szCs w:val="18"/>
              </w:rPr>
              <w:t xml:space="preserve">Other CRICOS Matters </w:t>
            </w:r>
          </w:p>
        </w:tc>
        <w:tc>
          <w:tcPr>
            <w:tcW w:w="2318" w:type="dxa"/>
          </w:tcPr>
          <w:p w14:paraId="5C1FDA43" w14:textId="77777777" w:rsidR="004805A1" w:rsidRPr="00C85A27" w:rsidRDefault="004805A1" w:rsidP="00925C59">
            <w:pPr>
              <w:pStyle w:val="TableText"/>
              <w:rPr>
                <w:sz w:val="16"/>
                <w:szCs w:val="18"/>
              </w:rPr>
            </w:pPr>
            <w:r w:rsidRPr="00C85A27">
              <w:rPr>
                <w:sz w:val="16"/>
                <w:szCs w:val="18"/>
              </w:rPr>
              <w:t xml:space="preserve">$2,500 for 2 specific changes </w:t>
            </w:r>
          </w:p>
        </w:tc>
        <w:tc>
          <w:tcPr>
            <w:tcW w:w="1774" w:type="dxa"/>
          </w:tcPr>
          <w:p w14:paraId="4D05350D" w14:textId="77777777" w:rsidR="004805A1" w:rsidRPr="00C85A27" w:rsidRDefault="004805A1" w:rsidP="00925C59">
            <w:pPr>
              <w:pStyle w:val="TableText"/>
              <w:rPr>
                <w:sz w:val="16"/>
                <w:szCs w:val="18"/>
              </w:rPr>
            </w:pPr>
            <w:r w:rsidRPr="00C85A27">
              <w:rPr>
                <w:sz w:val="16"/>
                <w:szCs w:val="18"/>
              </w:rPr>
              <w:t xml:space="preserve">28 </w:t>
            </w:r>
          </w:p>
        </w:tc>
        <w:tc>
          <w:tcPr>
            <w:tcW w:w="1775" w:type="dxa"/>
          </w:tcPr>
          <w:p w14:paraId="5BD0FF19" w14:textId="77777777" w:rsidR="004805A1" w:rsidRPr="00C85A27" w:rsidRDefault="004805A1" w:rsidP="00925C59">
            <w:pPr>
              <w:pStyle w:val="TableText"/>
              <w:rPr>
                <w:sz w:val="16"/>
                <w:szCs w:val="18"/>
              </w:rPr>
            </w:pPr>
            <w:r w:rsidRPr="00C85A27">
              <w:rPr>
                <w:sz w:val="16"/>
                <w:szCs w:val="18"/>
              </w:rPr>
              <w:t xml:space="preserve">70 </w:t>
            </w:r>
          </w:p>
        </w:tc>
        <w:tc>
          <w:tcPr>
            <w:tcW w:w="346" w:type="dxa"/>
          </w:tcPr>
          <w:p w14:paraId="7BD757F1" w14:textId="77777777" w:rsidR="004805A1" w:rsidRPr="00C85A27" w:rsidRDefault="004805A1">
            <w:pPr>
              <w:rPr>
                <w:sz w:val="16"/>
                <w:szCs w:val="18"/>
              </w:rPr>
            </w:pPr>
            <w:r w:rsidRPr="00C85A27">
              <w:rPr>
                <w:sz w:val="16"/>
                <w:szCs w:val="18"/>
              </w:rPr>
              <w:t xml:space="preserve"> </w:t>
            </w:r>
          </w:p>
        </w:tc>
      </w:tr>
      <w:tr w:rsidR="004805A1" w:rsidRPr="00C85A27" w14:paraId="047E57F3" w14:textId="77777777" w:rsidTr="00925C59">
        <w:trPr>
          <w:trHeight w:val="266"/>
        </w:trPr>
        <w:tc>
          <w:tcPr>
            <w:tcW w:w="2859" w:type="dxa"/>
          </w:tcPr>
          <w:p w14:paraId="0F55AE0B" w14:textId="77777777" w:rsidR="004805A1" w:rsidRPr="00C85A27" w:rsidRDefault="004805A1" w:rsidP="00925C59">
            <w:pPr>
              <w:pStyle w:val="TableText"/>
              <w:rPr>
                <w:sz w:val="16"/>
                <w:szCs w:val="18"/>
              </w:rPr>
            </w:pPr>
            <w:r w:rsidRPr="00C85A27">
              <w:rPr>
                <w:sz w:val="16"/>
                <w:szCs w:val="18"/>
              </w:rPr>
              <w:t xml:space="preserve">Self-Accreditation Authority Fee </w:t>
            </w:r>
          </w:p>
        </w:tc>
        <w:tc>
          <w:tcPr>
            <w:tcW w:w="2318" w:type="dxa"/>
          </w:tcPr>
          <w:p w14:paraId="65028847" w14:textId="77777777" w:rsidR="004805A1" w:rsidRPr="00C85A27" w:rsidRDefault="004805A1" w:rsidP="00925C59">
            <w:pPr>
              <w:pStyle w:val="TableText"/>
              <w:rPr>
                <w:sz w:val="16"/>
                <w:szCs w:val="18"/>
              </w:rPr>
            </w:pPr>
            <w:r w:rsidRPr="00C85A27">
              <w:rPr>
                <w:sz w:val="16"/>
                <w:szCs w:val="18"/>
              </w:rPr>
              <w:t>Partial SAA ($0</w:t>
            </w:r>
            <w:r>
              <w:rPr>
                <w:sz w:val="16"/>
                <w:szCs w:val="18"/>
              </w:rPr>
              <w:t xml:space="preserve"> &amp; $10,000),</w:t>
            </w:r>
            <w:r>
              <w:rPr>
                <w:sz w:val="16"/>
                <w:szCs w:val="18"/>
              </w:rPr>
              <w:br/>
              <w:t>Full ($0 &amp; $22,000)</w:t>
            </w:r>
          </w:p>
        </w:tc>
        <w:tc>
          <w:tcPr>
            <w:tcW w:w="1774" w:type="dxa"/>
          </w:tcPr>
          <w:p w14:paraId="2D32F30C" w14:textId="77777777" w:rsidR="004805A1" w:rsidRPr="00C85A27" w:rsidRDefault="004805A1" w:rsidP="00925C59">
            <w:pPr>
              <w:pStyle w:val="TableText"/>
              <w:rPr>
                <w:sz w:val="16"/>
                <w:szCs w:val="18"/>
              </w:rPr>
            </w:pPr>
            <w:r w:rsidRPr="00C85A27">
              <w:rPr>
                <w:sz w:val="16"/>
                <w:szCs w:val="18"/>
              </w:rPr>
              <w:t xml:space="preserve">4 </w:t>
            </w:r>
          </w:p>
        </w:tc>
        <w:tc>
          <w:tcPr>
            <w:tcW w:w="1775" w:type="dxa"/>
          </w:tcPr>
          <w:p w14:paraId="16A2D260" w14:textId="77777777" w:rsidR="004805A1" w:rsidRPr="00C85A27" w:rsidRDefault="004805A1" w:rsidP="00925C59">
            <w:pPr>
              <w:pStyle w:val="TableText"/>
              <w:rPr>
                <w:sz w:val="16"/>
                <w:szCs w:val="18"/>
              </w:rPr>
            </w:pPr>
            <w:r w:rsidRPr="00C85A27">
              <w:rPr>
                <w:sz w:val="16"/>
                <w:szCs w:val="18"/>
              </w:rPr>
              <w:t xml:space="preserve">88 </w:t>
            </w:r>
          </w:p>
        </w:tc>
        <w:tc>
          <w:tcPr>
            <w:tcW w:w="346" w:type="dxa"/>
          </w:tcPr>
          <w:p w14:paraId="7F6D7D7F" w14:textId="77777777" w:rsidR="004805A1" w:rsidRPr="00C85A27" w:rsidRDefault="004805A1">
            <w:pPr>
              <w:rPr>
                <w:sz w:val="16"/>
                <w:szCs w:val="18"/>
              </w:rPr>
            </w:pPr>
            <w:r w:rsidRPr="00C85A27">
              <w:rPr>
                <w:sz w:val="16"/>
                <w:szCs w:val="18"/>
              </w:rPr>
              <w:t xml:space="preserve"> </w:t>
            </w:r>
          </w:p>
        </w:tc>
      </w:tr>
      <w:tr w:rsidR="004805A1" w:rsidRPr="00C85A27" w14:paraId="74DDC37E" w14:textId="77777777" w:rsidTr="004D7B7C">
        <w:trPr>
          <w:trHeight w:val="266"/>
        </w:trPr>
        <w:tc>
          <w:tcPr>
            <w:tcW w:w="2977" w:type="dxa"/>
            <w:tcMar>
              <w:left w:w="108" w:type="dxa"/>
              <w:right w:w="108" w:type="dxa"/>
            </w:tcMar>
          </w:tcPr>
          <w:p w14:paraId="57C4204E" w14:textId="77777777" w:rsidR="004805A1" w:rsidRPr="00C85A27" w:rsidRDefault="004805A1" w:rsidP="004D7B7C">
            <w:pPr>
              <w:pStyle w:val="TableText"/>
              <w:rPr>
                <w:b/>
                <w:sz w:val="16"/>
                <w:szCs w:val="18"/>
              </w:rPr>
            </w:pPr>
            <w:r w:rsidRPr="00C85A27">
              <w:rPr>
                <w:b/>
                <w:sz w:val="16"/>
                <w:szCs w:val="18"/>
              </w:rPr>
              <w:t>TOTAL</w:t>
            </w:r>
          </w:p>
        </w:tc>
        <w:tc>
          <w:tcPr>
            <w:tcW w:w="2410" w:type="dxa"/>
            <w:tcMar>
              <w:left w:w="108" w:type="dxa"/>
              <w:right w:w="108" w:type="dxa"/>
            </w:tcMar>
          </w:tcPr>
          <w:p w14:paraId="1A183AD0" w14:textId="77777777" w:rsidR="004805A1" w:rsidRPr="00C85A27" w:rsidRDefault="004805A1" w:rsidP="004D7B7C">
            <w:pPr>
              <w:pStyle w:val="TableText"/>
              <w:rPr>
                <w:b/>
                <w:sz w:val="16"/>
                <w:szCs w:val="18"/>
              </w:rPr>
            </w:pPr>
          </w:p>
        </w:tc>
        <w:tc>
          <w:tcPr>
            <w:tcW w:w="1842" w:type="dxa"/>
            <w:tcMar>
              <w:left w:w="108" w:type="dxa"/>
              <w:right w:w="108" w:type="dxa"/>
            </w:tcMar>
          </w:tcPr>
          <w:p w14:paraId="2E94F54F" w14:textId="77777777" w:rsidR="004805A1" w:rsidRPr="00C85A27" w:rsidRDefault="004805A1" w:rsidP="004D7B7C">
            <w:pPr>
              <w:pStyle w:val="TableText"/>
              <w:rPr>
                <w:b/>
                <w:sz w:val="16"/>
                <w:szCs w:val="18"/>
              </w:rPr>
            </w:pPr>
            <w:r w:rsidRPr="00C85A27">
              <w:rPr>
                <w:b/>
                <w:sz w:val="16"/>
                <w:szCs w:val="18"/>
              </w:rPr>
              <w:t>479</w:t>
            </w:r>
          </w:p>
        </w:tc>
        <w:tc>
          <w:tcPr>
            <w:tcW w:w="1843" w:type="dxa"/>
            <w:gridSpan w:val="2"/>
            <w:tcMar>
              <w:left w:w="108" w:type="dxa"/>
              <w:right w:w="108" w:type="dxa"/>
            </w:tcMar>
          </w:tcPr>
          <w:p w14:paraId="2393B6EF" w14:textId="77777777" w:rsidR="004805A1" w:rsidRPr="00C85A27" w:rsidRDefault="004805A1" w:rsidP="004D7B7C">
            <w:pPr>
              <w:pStyle w:val="TableText"/>
              <w:rPr>
                <w:b/>
                <w:sz w:val="16"/>
                <w:szCs w:val="18"/>
              </w:rPr>
            </w:pPr>
            <w:r w:rsidRPr="00C85A27">
              <w:rPr>
                <w:b/>
                <w:sz w:val="16"/>
                <w:szCs w:val="18"/>
              </w:rPr>
              <w:t>4,381</w:t>
            </w:r>
          </w:p>
        </w:tc>
      </w:tr>
    </w:tbl>
    <w:p w14:paraId="7AA19C5A" w14:textId="77777777" w:rsidR="004805A1" w:rsidRDefault="004805A1" w:rsidP="004805A1">
      <w:pPr>
        <w:spacing w:before="120"/>
        <w:rPr>
          <w:color w:val="000000"/>
        </w:rPr>
      </w:pPr>
      <w:r w:rsidRPr="00397F68">
        <w:rPr>
          <w:b/>
          <w:color w:val="000000"/>
        </w:rPr>
        <w:t>Source:</w:t>
      </w:r>
      <w:r w:rsidRPr="008A0157">
        <w:rPr>
          <w:color w:val="000000"/>
        </w:rPr>
        <w:t xml:space="preserve"> </w:t>
      </w:r>
      <w:hyperlink r:id="rId23" w:history="1">
        <w:r w:rsidRPr="008A0157">
          <w:rPr>
            <w:rStyle w:val="Hyperlink"/>
          </w:rPr>
          <w:t>Tertiary Education Quality and Standards Agency Cost Recovery Implementation Statement, Pg.12</w:t>
        </w:r>
      </w:hyperlink>
    </w:p>
    <w:p w14:paraId="24F811F9" w14:textId="77777777" w:rsidR="004805A1" w:rsidRPr="001E718F" w:rsidRDefault="004805A1" w:rsidP="004805A1">
      <w:pPr>
        <w:keepNext/>
        <w:pageBreakBefore/>
        <w:rPr>
          <w:b/>
        </w:rPr>
      </w:pPr>
      <w:r>
        <w:rPr>
          <w:b/>
        </w:rPr>
        <w:lastRenderedPageBreak/>
        <w:t>Figure 1.5:</w:t>
      </w:r>
      <w:r w:rsidRPr="000E7BDD">
        <w:t xml:space="preserve"> Comparison of international passport fees</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471"/>
        <w:gridCol w:w="1334"/>
        <w:gridCol w:w="1334"/>
        <w:gridCol w:w="1334"/>
        <w:gridCol w:w="1334"/>
        <w:gridCol w:w="1265"/>
      </w:tblGrid>
      <w:tr w:rsidR="004805A1" w:rsidRPr="005D6009" w14:paraId="02428FF6" w14:textId="77777777" w:rsidTr="004D7B7C">
        <w:trPr>
          <w:trHeight w:val="198"/>
        </w:trPr>
        <w:tc>
          <w:tcPr>
            <w:tcW w:w="2471" w:type="dxa"/>
            <w:vMerge w:val="restart"/>
            <w:shd w:val="clear" w:color="auto" w:fill="EBF5F8"/>
          </w:tcPr>
          <w:p w14:paraId="5BD638E0" w14:textId="77777777" w:rsidR="004805A1" w:rsidRPr="000C4A71" w:rsidRDefault="004805A1" w:rsidP="004D7B7C">
            <w:pPr>
              <w:pStyle w:val="TableText"/>
              <w:rPr>
                <w:b/>
                <w:color w:val="0082AB"/>
                <w:sz w:val="18"/>
                <w:szCs w:val="18"/>
              </w:rPr>
            </w:pPr>
            <w:r w:rsidRPr="000C4A71">
              <w:rPr>
                <w:b/>
                <w:color w:val="0082AB"/>
                <w:sz w:val="18"/>
                <w:szCs w:val="18"/>
              </w:rPr>
              <w:t xml:space="preserve">Service </w:t>
            </w:r>
          </w:p>
        </w:tc>
        <w:tc>
          <w:tcPr>
            <w:tcW w:w="1334" w:type="dxa"/>
            <w:shd w:val="clear" w:color="auto" w:fill="EBF5F8"/>
          </w:tcPr>
          <w:p w14:paraId="4450C4CA" w14:textId="77777777" w:rsidR="004805A1" w:rsidRPr="000C4A71" w:rsidRDefault="004805A1" w:rsidP="004D7B7C">
            <w:pPr>
              <w:pStyle w:val="TableText"/>
              <w:rPr>
                <w:b/>
                <w:color w:val="0082AB"/>
                <w:sz w:val="18"/>
                <w:szCs w:val="18"/>
              </w:rPr>
            </w:pPr>
            <w:r w:rsidRPr="000C4A71">
              <w:rPr>
                <w:b/>
                <w:color w:val="0082AB"/>
                <w:sz w:val="18"/>
                <w:szCs w:val="18"/>
              </w:rPr>
              <w:t xml:space="preserve">United Kingdom </w:t>
            </w:r>
          </w:p>
        </w:tc>
        <w:tc>
          <w:tcPr>
            <w:tcW w:w="1334" w:type="dxa"/>
            <w:shd w:val="clear" w:color="auto" w:fill="EBF5F8"/>
          </w:tcPr>
          <w:p w14:paraId="699A43EF" w14:textId="77777777" w:rsidR="004805A1" w:rsidRPr="000C4A71" w:rsidRDefault="004805A1" w:rsidP="004D7B7C">
            <w:pPr>
              <w:pStyle w:val="TableText"/>
              <w:rPr>
                <w:b/>
                <w:color w:val="0082AB"/>
                <w:sz w:val="18"/>
                <w:szCs w:val="18"/>
              </w:rPr>
            </w:pPr>
            <w:r w:rsidRPr="000C4A71">
              <w:rPr>
                <w:b/>
                <w:color w:val="0082AB"/>
                <w:sz w:val="18"/>
                <w:szCs w:val="18"/>
              </w:rPr>
              <w:t xml:space="preserve">United States </w:t>
            </w:r>
          </w:p>
        </w:tc>
        <w:tc>
          <w:tcPr>
            <w:tcW w:w="1334" w:type="dxa"/>
            <w:shd w:val="clear" w:color="auto" w:fill="EBF5F8"/>
          </w:tcPr>
          <w:p w14:paraId="5E2D1DC3" w14:textId="77777777" w:rsidR="004805A1" w:rsidRPr="000C4A71" w:rsidRDefault="004805A1" w:rsidP="004D7B7C">
            <w:pPr>
              <w:pStyle w:val="TableText"/>
              <w:rPr>
                <w:b/>
                <w:color w:val="0082AB"/>
                <w:sz w:val="18"/>
                <w:szCs w:val="18"/>
              </w:rPr>
            </w:pPr>
            <w:r w:rsidRPr="000C4A71">
              <w:rPr>
                <w:b/>
                <w:color w:val="0082AB"/>
                <w:sz w:val="18"/>
                <w:szCs w:val="18"/>
              </w:rPr>
              <w:t xml:space="preserve">New Zealand </w:t>
            </w:r>
          </w:p>
        </w:tc>
        <w:tc>
          <w:tcPr>
            <w:tcW w:w="1334" w:type="dxa"/>
            <w:shd w:val="clear" w:color="auto" w:fill="EBF5F8"/>
          </w:tcPr>
          <w:p w14:paraId="03DB97F0" w14:textId="77777777" w:rsidR="004805A1" w:rsidRPr="000C4A71" w:rsidRDefault="004805A1" w:rsidP="004D7B7C">
            <w:pPr>
              <w:pStyle w:val="TableText"/>
              <w:rPr>
                <w:b/>
                <w:color w:val="0082AB"/>
                <w:sz w:val="18"/>
                <w:szCs w:val="18"/>
              </w:rPr>
            </w:pPr>
            <w:r w:rsidRPr="000C4A71">
              <w:rPr>
                <w:b/>
                <w:color w:val="0082AB"/>
                <w:sz w:val="18"/>
                <w:szCs w:val="18"/>
              </w:rPr>
              <w:t xml:space="preserve">Australia </w:t>
            </w:r>
          </w:p>
        </w:tc>
        <w:tc>
          <w:tcPr>
            <w:tcW w:w="1265" w:type="dxa"/>
            <w:shd w:val="clear" w:color="auto" w:fill="EBF5F8"/>
          </w:tcPr>
          <w:p w14:paraId="1A607A5A" w14:textId="77777777" w:rsidR="004805A1" w:rsidRPr="000C4A71" w:rsidRDefault="004805A1" w:rsidP="004D7B7C">
            <w:pPr>
              <w:pStyle w:val="TableText"/>
              <w:rPr>
                <w:b/>
                <w:color w:val="0082AB"/>
                <w:sz w:val="18"/>
                <w:szCs w:val="18"/>
              </w:rPr>
            </w:pPr>
            <w:r w:rsidRPr="000C4A71">
              <w:rPr>
                <w:b/>
                <w:color w:val="0082AB"/>
                <w:sz w:val="18"/>
                <w:szCs w:val="18"/>
              </w:rPr>
              <w:t xml:space="preserve">Canada (proposed) </w:t>
            </w:r>
          </w:p>
        </w:tc>
      </w:tr>
      <w:tr w:rsidR="004805A1" w:rsidRPr="005D6009" w14:paraId="1049E2C6" w14:textId="77777777" w:rsidTr="004D7B7C">
        <w:trPr>
          <w:trHeight w:val="198"/>
        </w:trPr>
        <w:tc>
          <w:tcPr>
            <w:tcW w:w="2471" w:type="dxa"/>
            <w:vMerge/>
            <w:shd w:val="clear" w:color="auto" w:fill="EBF5F8"/>
          </w:tcPr>
          <w:p w14:paraId="4E998BDC" w14:textId="77777777" w:rsidR="004805A1" w:rsidRPr="000C4A71" w:rsidRDefault="004805A1" w:rsidP="004D7B7C">
            <w:pPr>
              <w:pStyle w:val="TableText"/>
              <w:rPr>
                <w:b/>
                <w:color w:val="0082AB"/>
                <w:sz w:val="18"/>
                <w:szCs w:val="18"/>
              </w:rPr>
            </w:pPr>
          </w:p>
        </w:tc>
        <w:tc>
          <w:tcPr>
            <w:tcW w:w="6601" w:type="dxa"/>
            <w:gridSpan w:val="5"/>
            <w:shd w:val="clear" w:color="auto" w:fill="EBF5F8"/>
          </w:tcPr>
          <w:p w14:paraId="7397594D" w14:textId="77777777" w:rsidR="004805A1" w:rsidRPr="000C4A71" w:rsidRDefault="004805A1" w:rsidP="004D7B7C">
            <w:pPr>
              <w:pStyle w:val="TableText"/>
              <w:jc w:val="center"/>
              <w:rPr>
                <w:b/>
                <w:color w:val="0082AB"/>
                <w:sz w:val="18"/>
                <w:szCs w:val="18"/>
              </w:rPr>
            </w:pPr>
            <w:r w:rsidRPr="000C4A71">
              <w:rPr>
                <w:color w:val="0082AB"/>
                <w:sz w:val="18"/>
                <w:szCs w:val="18"/>
              </w:rPr>
              <w:t>Fee comparison</w:t>
            </w:r>
          </w:p>
        </w:tc>
      </w:tr>
      <w:tr w:rsidR="004805A1" w:rsidRPr="006D7858" w14:paraId="3F320E15" w14:textId="77777777" w:rsidTr="004D7B7C">
        <w:trPr>
          <w:trHeight w:val="101"/>
        </w:trPr>
        <w:tc>
          <w:tcPr>
            <w:tcW w:w="2471" w:type="dxa"/>
            <w:shd w:val="clear" w:color="auto" w:fill="FFFFFF"/>
          </w:tcPr>
          <w:p w14:paraId="7D8D8CE2" w14:textId="77777777" w:rsidR="004805A1" w:rsidRPr="006D7858" w:rsidRDefault="004805A1" w:rsidP="004D7B7C">
            <w:pPr>
              <w:pStyle w:val="TableText"/>
              <w:rPr>
                <w:sz w:val="16"/>
                <w:szCs w:val="18"/>
              </w:rPr>
            </w:pPr>
            <w:r w:rsidRPr="006D7858">
              <w:rPr>
                <w:sz w:val="16"/>
                <w:szCs w:val="18"/>
              </w:rPr>
              <w:t xml:space="preserve">Validity period </w:t>
            </w:r>
          </w:p>
        </w:tc>
        <w:tc>
          <w:tcPr>
            <w:tcW w:w="1334" w:type="dxa"/>
            <w:shd w:val="clear" w:color="auto" w:fill="FFFFFF"/>
          </w:tcPr>
          <w:p w14:paraId="3A62BAD4" w14:textId="77777777" w:rsidR="004805A1" w:rsidRPr="006D7858" w:rsidRDefault="004805A1" w:rsidP="004D7B7C">
            <w:pPr>
              <w:pStyle w:val="TableText"/>
              <w:rPr>
                <w:sz w:val="16"/>
                <w:szCs w:val="18"/>
              </w:rPr>
            </w:pPr>
            <w:r w:rsidRPr="006D7858">
              <w:rPr>
                <w:sz w:val="16"/>
                <w:szCs w:val="18"/>
              </w:rPr>
              <w:t xml:space="preserve">10 years </w:t>
            </w:r>
          </w:p>
        </w:tc>
        <w:tc>
          <w:tcPr>
            <w:tcW w:w="1334" w:type="dxa"/>
            <w:shd w:val="clear" w:color="auto" w:fill="FFFFFF"/>
          </w:tcPr>
          <w:p w14:paraId="78A63340" w14:textId="77777777" w:rsidR="004805A1" w:rsidRPr="006D7858" w:rsidRDefault="004805A1" w:rsidP="004D7B7C">
            <w:pPr>
              <w:pStyle w:val="TableText"/>
              <w:rPr>
                <w:sz w:val="16"/>
                <w:szCs w:val="18"/>
              </w:rPr>
            </w:pPr>
            <w:r w:rsidRPr="006D7858">
              <w:rPr>
                <w:sz w:val="16"/>
                <w:szCs w:val="18"/>
              </w:rPr>
              <w:t xml:space="preserve">10 years </w:t>
            </w:r>
          </w:p>
        </w:tc>
        <w:tc>
          <w:tcPr>
            <w:tcW w:w="1334" w:type="dxa"/>
            <w:shd w:val="clear" w:color="auto" w:fill="FFFFFF"/>
          </w:tcPr>
          <w:p w14:paraId="1B090F18" w14:textId="77777777" w:rsidR="004805A1" w:rsidRPr="006D7858" w:rsidRDefault="004805A1" w:rsidP="004D7B7C">
            <w:pPr>
              <w:pStyle w:val="TableText"/>
              <w:rPr>
                <w:sz w:val="16"/>
                <w:szCs w:val="18"/>
              </w:rPr>
            </w:pPr>
            <w:r w:rsidRPr="006D7858">
              <w:rPr>
                <w:sz w:val="16"/>
                <w:szCs w:val="18"/>
              </w:rPr>
              <w:t xml:space="preserve">5 years </w:t>
            </w:r>
          </w:p>
        </w:tc>
        <w:tc>
          <w:tcPr>
            <w:tcW w:w="1334" w:type="dxa"/>
            <w:shd w:val="clear" w:color="auto" w:fill="FFFFFF"/>
          </w:tcPr>
          <w:p w14:paraId="4594D479" w14:textId="77777777" w:rsidR="004805A1" w:rsidRPr="006D7858" w:rsidRDefault="004805A1" w:rsidP="004D7B7C">
            <w:pPr>
              <w:pStyle w:val="TableText"/>
              <w:rPr>
                <w:sz w:val="16"/>
                <w:szCs w:val="18"/>
              </w:rPr>
            </w:pPr>
            <w:r w:rsidRPr="006D7858">
              <w:rPr>
                <w:sz w:val="16"/>
                <w:szCs w:val="18"/>
              </w:rPr>
              <w:t xml:space="preserve">10 years </w:t>
            </w:r>
          </w:p>
        </w:tc>
        <w:tc>
          <w:tcPr>
            <w:tcW w:w="1265" w:type="dxa"/>
            <w:shd w:val="clear" w:color="auto" w:fill="FFFFFF"/>
          </w:tcPr>
          <w:p w14:paraId="79A80E1B" w14:textId="77777777" w:rsidR="004805A1" w:rsidRPr="006D7858" w:rsidRDefault="004805A1" w:rsidP="004D7B7C">
            <w:pPr>
              <w:pStyle w:val="TableText"/>
              <w:rPr>
                <w:sz w:val="16"/>
                <w:szCs w:val="18"/>
              </w:rPr>
            </w:pPr>
            <w:r w:rsidRPr="006D7858">
              <w:rPr>
                <w:sz w:val="16"/>
                <w:szCs w:val="18"/>
              </w:rPr>
              <w:t xml:space="preserve">10 and 5 years </w:t>
            </w:r>
          </w:p>
        </w:tc>
      </w:tr>
      <w:tr w:rsidR="004805A1" w:rsidRPr="006D7858" w14:paraId="7AD6F742" w14:textId="77777777" w:rsidTr="004D7B7C">
        <w:trPr>
          <w:trHeight w:val="101"/>
        </w:trPr>
        <w:tc>
          <w:tcPr>
            <w:tcW w:w="2471" w:type="dxa"/>
          </w:tcPr>
          <w:p w14:paraId="7E53013C" w14:textId="77777777" w:rsidR="004805A1" w:rsidRPr="006D7858" w:rsidRDefault="004805A1" w:rsidP="004D7B7C">
            <w:pPr>
              <w:pStyle w:val="TableText"/>
              <w:rPr>
                <w:sz w:val="16"/>
                <w:szCs w:val="18"/>
              </w:rPr>
            </w:pPr>
            <w:r w:rsidRPr="006D7858">
              <w:rPr>
                <w:sz w:val="16"/>
                <w:szCs w:val="18"/>
              </w:rPr>
              <w:t xml:space="preserve">ePassport </w:t>
            </w:r>
          </w:p>
        </w:tc>
        <w:tc>
          <w:tcPr>
            <w:tcW w:w="1334" w:type="dxa"/>
          </w:tcPr>
          <w:p w14:paraId="5163512F" w14:textId="77777777" w:rsidR="004805A1" w:rsidRPr="006D7858" w:rsidRDefault="004805A1" w:rsidP="004D7B7C">
            <w:pPr>
              <w:pStyle w:val="TableText"/>
              <w:rPr>
                <w:sz w:val="16"/>
                <w:szCs w:val="18"/>
              </w:rPr>
            </w:pPr>
            <w:r w:rsidRPr="006D7858">
              <w:rPr>
                <w:sz w:val="16"/>
                <w:szCs w:val="18"/>
              </w:rPr>
              <w:t xml:space="preserve">Yes </w:t>
            </w:r>
          </w:p>
        </w:tc>
        <w:tc>
          <w:tcPr>
            <w:tcW w:w="1334" w:type="dxa"/>
          </w:tcPr>
          <w:p w14:paraId="6A2E519C" w14:textId="77777777" w:rsidR="004805A1" w:rsidRPr="006D7858" w:rsidRDefault="004805A1" w:rsidP="004D7B7C">
            <w:pPr>
              <w:pStyle w:val="TableText"/>
              <w:rPr>
                <w:sz w:val="16"/>
                <w:szCs w:val="18"/>
              </w:rPr>
            </w:pPr>
            <w:r w:rsidRPr="006D7858">
              <w:rPr>
                <w:sz w:val="16"/>
                <w:szCs w:val="18"/>
              </w:rPr>
              <w:t xml:space="preserve">Yes </w:t>
            </w:r>
          </w:p>
        </w:tc>
        <w:tc>
          <w:tcPr>
            <w:tcW w:w="1334" w:type="dxa"/>
          </w:tcPr>
          <w:p w14:paraId="0DFDD033" w14:textId="77777777" w:rsidR="004805A1" w:rsidRPr="006D7858" w:rsidRDefault="004805A1" w:rsidP="004D7B7C">
            <w:pPr>
              <w:pStyle w:val="TableText"/>
              <w:rPr>
                <w:sz w:val="16"/>
                <w:szCs w:val="18"/>
              </w:rPr>
            </w:pPr>
            <w:r w:rsidRPr="006D7858">
              <w:rPr>
                <w:sz w:val="16"/>
                <w:szCs w:val="18"/>
              </w:rPr>
              <w:t xml:space="preserve">Yes </w:t>
            </w:r>
          </w:p>
        </w:tc>
        <w:tc>
          <w:tcPr>
            <w:tcW w:w="1334" w:type="dxa"/>
          </w:tcPr>
          <w:p w14:paraId="5D28F809" w14:textId="77777777" w:rsidR="004805A1" w:rsidRPr="006D7858" w:rsidRDefault="004805A1" w:rsidP="004D7B7C">
            <w:pPr>
              <w:pStyle w:val="TableText"/>
              <w:rPr>
                <w:sz w:val="16"/>
                <w:szCs w:val="18"/>
              </w:rPr>
            </w:pPr>
            <w:r w:rsidRPr="006D7858">
              <w:rPr>
                <w:sz w:val="16"/>
                <w:szCs w:val="18"/>
              </w:rPr>
              <w:t xml:space="preserve">Yes </w:t>
            </w:r>
          </w:p>
        </w:tc>
        <w:tc>
          <w:tcPr>
            <w:tcW w:w="1265" w:type="dxa"/>
          </w:tcPr>
          <w:p w14:paraId="07C0645D" w14:textId="77777777" w:rsidR="004805A1" w:rsidRPr="006D7858" w:rsidRDefault="004805A1" w:rsidP="004D7B7C">
            <w:pPr>
              <w:pStyle w:val="TableText"/>
              <w:rPr>
                <w:sz w:val="16"/>
                <w:szCs w:val="18"/>
              </w:rPr>
            </w:pPr>
            <w:r w:rsidRPr="006D7858">
              <w:rPr>
                <w:sz w:val="16"/>
                <w:szCs w:val="18"/>
              </w:rPr>
              <w:t xml:space="preserve">Yes </w:t>
            </w:r>
          </w:p>
        </w:tc>
      </w:tr>
      <w:tr w:rsidR="004805A1" w:rsidRPr="006D7858" w14:paraId="312CA8B7" w14:textId="77777777" w:rsidTr="004D7B7C">
        <w:trPr>
          <w:trHeight w:val="198"/>
        </w:trPr>
        <w:tc>
          <w:tcPr>
            <w:tcW w:w="2471" w:type="dxa"/>
            <w:shd w:val="clear" w:color="auto" w:fill="FFFFFF"/>
          </w:tcPr>
          <w:p w14:paraId="23D89704" w14:textId="77777777" w:rsidR="004805A1" w:rsidRPr="006D7858" w:rsidRDefault="004805A1" w:rsidP="004D7B7C">
            <w:pPr>
              <w:pStyle w:val="TableText"/>
              <w:rPr>
                <w:sz w:val="16"/>
                <w:szCs w:val="18"/>
              </w:rPr>
            </w:pPr>
            <w:r w:rsidRPr="006D7858">
              <w:rPr>
                <w:sz w:val="16"/>
                <w:szCs w:val="18"/>
              </w:rPr>
              <w:t xml:space="preserve">Regular adult fee </w:t>
            </w:r>
          </w:p>
        </w:tc>
        <w:tc>
          <w:tcPr>
            <w:tcW w:w="1334" w:type="dxa"/>
            <w:shd w:val="clear" w:color="auto" w:fill="FFFFFF"/>
          </w:tcPr>
          <w:p w14:paraId="472627A1" w14:textId="77777777" w:rsidR="004805A1" w:rsidRPr="006D7858" w:rsidRDefault="004805A1" w:rsidP="004D7B7C">
            <w:pPr>
              <w:pStyle w:val="TableText"/>
              <w:rPr>
                <w:sz w:val="16"/>
                <w:szCs w:val="18"/>
              </w:rPr>
            </w:pPr>
            <w:r w:rsidRPr="006D7858">
              <w:rPr>
                <w:sz w:val="16"/>
                <w:szCs w:val="18"/>
              </w:rPr>
              <w:t xml:space="preserve">£77.50 </w:t>
            </w:r>
            <w:r>
              <w:rPr>
                <w:sz w:val="16"/>
                <w:szCs w:val="18"/>
              </w:rPr>
              <w:br/>
            </w:r>
            <w:r w:rsidRPr="006D7858">
              <w:rPr>
                <w:sz w:val="16"/>
                <w:szCs w:val="18"/>
              </w:rPr>
              <w:t xml:space="preserve">($122) </w:t>
            </w:r>
          </w:p>
        </w:tc>
        <w:tc>
          <w:tcPr>
            <w:tcW w:w="1334" w:type="dxa"/>
            <w:shd w:val="clear" w:color="auto" w:fill="FFFFFF"/>
          </w:tcPr>
          <w:p w14:paraId="1DCB27A7" w14:textId="77777777" w:rsidR="004805A1" w:rsidRPr="006D7858" w:rsidRDefault="004805A1" w:rsidP="004D7B7C">
            <w:pPr>
              <w:pStyle w:val="TableText"/>
              <w:rPr>
                <w:sz w:val="16"/>
                <w:szCs w:val="18"/>
              </w:rPr>
            </w:pPr>
            <w:r w:rsidRPr="006D7858">
              <w:rPr>
                <w:sz w:val="16"/>
                <w:szCs w:val="18"/>
              </w:rPr>
              <w:t xml:space="preserve">US$135 </w:t>
            </w:r>
            <w:r>
              <w:rPr>
                <w:sz w:val="16"/>
                <w:szCs w:val="18"/>
              </w:rPr>
              <w:br/>
            </w:r>
            <w:r w:rsidRPr="006D7858">
              <w:rPr>
                <w:sz w:val="16"/>
                <w:szCs w:val="18"/>
              </w:rPr>
              <w:t xml:space="preserve">($139) </w:t>
            </w:r>
          </w:p>
        </w:tc>
        <w:tc>
          <w:tcPr>
            <w:tcW w:w="1334" w:type="dxa"/>
            <w:shd w:val="clear" w:color="auto" w:fill="FFFFFF"/>
          </w:tcPr>
          <w:p w14:paraId="15BCF52E" w14:textId="77777777" w:rsidR="004805A1" w:rsidRPr="006D7858" w:rsidRDefault="004805A1" w:rsidP="004D7B7C">
            <w:pPr>
              <w:pStyle w:val="TableText"/>
              <w:rPr>
                <w:sz w:val="16"/>
                <w:szCs w:val="18"/>
              </w:rPr>
            </w:pPr>
            <w:r w:rsidRPr="006D7858">
              <w:rPr>
                <w:sz w:val="16"/>
                <w:szCs w:val="18"/>
              </w:rPr>
              <w:t xml:space="preserve">NZ$153.30 ($120) </w:t>
            </w:r>
          </w:p>
        </w:tc>
        <w:tc>
          <w:tcPr>
            <w:tcW w:w="1334" w:type="dxa"/>
            <w:shd w:val="clear" w:color="auto" w:fill="FFFFFF"/>
          </w:tcPr>
          <w:p w14:paraId="0D16B271" w14:textId="77777777" w:rsidR="004805A1" w:rsidRPr="006D7858" w:rsidRDefault="004805A1" w:rsidP="004D7B7C">
            <w:pPr>
              <w:pStyle w:val="TableText"/>
              <w:rPr>
                <w:sz w:val="16"/>
                <w:szCs w:val="18"/>
              </w:rPr>
            </w:pPr>
            <w:r w:rsidRPr="006D7858">
              <w:rPr>
                <w:sz w:val="16"/>
                <w:szCs w:val="18"/>
              </w:rPr>
              <w:t xml:space="preserve">AU$233 </w:t>
            </w:r>
            <w:r>
              <w:rPr>
                <w:sz w:val="16"/>
                <w:szCs w:val="18"/>
              </w:rPr>
              <w:br/>
            </w:r>
            <w:r w:rsidRPr="006D7858">
              <w:rPr>
                <w:sz w:val="16"/>
                <w:szCs w:val="18"/>
              </w:rPr>
              <w:t xml:space="preserve">($238) </w:t>
            </w:r>
          </w:p>
        </w:tc>
        <w:tc>
          <w:tcPr>
            <w:tcW w:w="1265" w:type="dxa"/>
            <w:shd w:val="clear" w:color="auto" w:fill="FFFFFF"/>
          </w:tcPr>
          <w:p w14:paraId="3AC84C87" w14:textId="77777777" w:rsidR="004805A1" w:rsidRPr="006D7858" w:rsidRDefault="004805A1" w:rsidP="004D7B7C">
            <w:pPr>
              <w:pStyle w:val="TableText"/>
              <w:rPr>
                <w:sz w:val="16"/>
                <w:szCs w:val="18"/>
              </w:rPr>
            </w:pPr>
            <w:r w:rsidRPr="006D7858">
              <w:rPr>
                <w:sz w:val="16"/>
                <w:szCs w:val="18"/>
              </w:rPr>
              <w:t xml:space="preserve">10-year: $160 5-year: $120 </w:t>
            </w:r>
          </w:p>
        </w:tc>
      </w:tr>
      <w:tr w:rsidR="004805A1" w:rsidRPr="006D7858" w14:paraId="5A83CD53" w14:textId="77777777" w:rsidTr="004D7B7C">
        <w:trPr>
          <w:trHeight w:val="198"/>
        </w:trPr>
        <w:tc>
          <w:tcPr>
            <w:tcW w:w="2471" w:type="dxa"/>
          </w:tcPr>
          <w:p w14:paraId="19514DDF" w14:textId="77777777" w:rsidR="004805A1" w:rsidRPr="006D7858" w:rsidRDefault="004805A1" w:rsidP="004D7B7C">
            <w:pPr>
              <w:pStyle w:val="TableText"/>
              <w:rPr>
                <w:sz w:val="16"/>
                <w:szCs w:val="18"/>
              </w:rPr>
            </w:pPr>
            <w:r w:rsidRPr="006D7858">
              <w:rPr>
                <w:sz w:val="16"/>
                <w:szCs w:val="18"/>
              </w:rPr>
              <w:t>Children's fees (approximate %</w:t>
            </w:r>
            <w:r>
              <w:rPr>
                <w:sz w:val="16"/>
                <w:szCs w:val="18"/>
              </w:rPr>
              <w:t> </w:t>
            </w:r>
            <w:r w:rsidRPr="006D7858">
              <w:rPr>
                <w:sz w:val="16"/>
                <w:szCs w:val="18"/>
              </w:rPr>
              <w:t xml:space="preserve">of cost of adult passport) </w:t>
            </w:r>
          </w:p>
        </w:tc>
        <w:tc>
          <w:tcPr>
            <w:tcW w:w="1334" w:type="dxa"/>
          </w:tcPr>
          <w:p w14:paraId="5F25323C" w14:textId="77777777" w:rsidR="004805A1" w:rsidRPr="006D7858" w:rsidRDefault="004805A1" w:rsidP="004D7B7C">
            <w:pPr>
              <w:pStyle w:val="TableText"/>
              <w:rPr>
                <w:sz w:val="16"/>
                <w:szCs w:val="18"/>
              </w:rPr>
            </w:pPr>
            <w:r w:rsidRPr="006D7858">
              <w:rPr>
                <w:sz w:val="16"/>
                <w:szCs w:val="18"/>
              </w:rPr>
              <w:t xml:space="preserve">£49 (63%) ($77) </w:t>
            </w:r>
          </w:p>
        </w:tc>
        <w:tc>
          <w:tcPr>
            <w:tcW w:w="1334" w:type="dxa"/>
          </w:tcPr>
          <w:p w14:paraId="310519EA" w14:textId="77777777" w:rsidR="004805A1" w:rsidRPr="006D7858" w:rsidRDefault="004805A1" w:rsidP="004D7B7C">
            <w:pPr>
              <w:pStyle w:val="TableText"/>
              <w:rPr>
                <w:sz w:val="16"/>
                <w:szCs w:val="18"/>
              </w:rPr>
            </w:pPr>
            <w:r w:rsidRPr="006D7858">
              <w:rPr>
                <w:sz w:val="16"/>
                <w:szCs w:val="18"/>
              </w:rPr>
              <w:t xml:space="preserve">US$105 (78%) </w:t>
            </w:r>
            <w:r w:rsidRPr="006D7858">
              <w:rPr>
                <w:sz w:val="16"/>
                <w:szCs w:val="18"/>
              </w:rPr>
              <w:br/>
              <w:t xml:space="preserve">($108) </w:t>
            </w:r>
          </w:p>
        </w:tc>
        <w:tc>
          <w:tcPr>
            <w:tcW w:w="1334" w:type="dxa"/>
            <w:tcMar>
              <w:right w:w="57" w:type="dxa"/>
            </w:tcMar>
          </w:tcPr>
          <w:p w14:paraId="2BBFF1FD" w14:textId="77777777" w:rsidR="004805A1" w:rsidRPr="006D7858" w:rsidRDefault="004805A1" w:rsidP="004D7B7C">
            <w:pPr>
              <w:pStyle w:val="TableText"/>
              <w:rPr>
                <w:spacing w:val="-2"/>
                <w:sz w:val="16"/>
                <w:szCs w:val="18"/>
              </w:rPr>
            </w:pPr>
            <w:r w:rsidRPr="006D7858">
              <w:rPr>
                <w:spacing w:val="-2"/>
                <w:sz w:val="16"/>
                <w:szCs w:val="18"/>
              </w:rPr>
              <w:t>NZ$80.70 (53%)</w:t>
            </w:r>
            <w:r w:rsidRPr="006D7858">
              <w:rPr>
                <w:spacing w:val="-2"/>
                <w:sz w:val="16"/>
                <w:szCs w:val="18"/>
              </w:rPr>
              <w:br/>
              <w:t xml:space="preserve">($64) </w:t>
            </w:r>
          </w:p>
        </w:tc>
        <w:tc>
          <w:tcPr>
            <w:tcW w:w="1334" w:type="dxa"/>
          </w:tcPr>
          <w:p w14:paraId="7DB3316D" w14:textId="77777777" w:rsidR="004805A1" w:rsidRPr="006D7858" w:rsidRDefault="004805A1" w:rsidP="004D7B7C">
            <w:pPr>
              <w:pStyle w:val="TableText"/>
              <w:rPr>
                <w:sz w:val="16"/>
                <w:szCs w:val="18"/>
              </w:rPr>
            </w:pPr>
            <w:r w:rsidRPr="006D7858">
              <w:rPr>
                <w:sz w:val="16"/>
                <w:szCs w:val="18"/>
              </w:rPr>
              <w:t>AU$117 (50%)</w:t>
            </w:r>
            <w:r w:rsidRPr="006D7858">
              <w:rPr>
                <w:sz w:val="16"/>
                <w:szCs w:val="18"/>
              </w:rPr>
              <w:br/>
              <w:t xml:space="preserve">($119) </w:t>
            </w:r>
          </w:p>
        </w:tc>
        <w:tc>
          <w:tcPr>
            <w:tcW w:w="1265" w:type="dxa"/>
          </w:tcPr>
          <w:p w14:paraId="5E7C1D7B" w14:textId="77777777" w:rsidR="004805A1" w:rsidRPr="006D7858" w:rsidRDefault="004805A1" w:rsidP="004D7B7C">
            <w:pPr>
              <w:pStyle w:val="TableText"/>
              <w:rPr>
                <w:sz w:val="16"/>
                <w:szCs w:val="18"/>
              </w:rPr>
            </w:pPr>
            <w:r w:rsidRPr="006D7858">
              <w:rPr>
                <w:sz w:val="16"/>
                <w:szCs w:val="18"/>
              </w:rPr>
              <w:t xml:space="preserve">$57 (60%) </w:t>
            </w:r>
          </w:p>
        </w:tc>
      </w:tr>
      <w:tr w:rsidR="004805A1" w:rsidRPr="006D7858" w14:paraId="41FAE3B4" w14:textId="77777777" w:rsidTr="004D7B7C">
        <w:trPr>
          <w:trHeight w:val="197"/>
        </w:trPr>
        <w:tc>
          <w:tcPr>
            <w:tcW w:w="2471" w:type="dxa"/>
            <w:shd w:val="clear" w:color="auto" w:fill="FFFFFF"/>
          </w:tcPr>
          <w:p w14:paraId="0D68DA99" w14:textId="77777777" w:rsidR="004805A1" w:rsidRPr="006D7858" w:rsidRDefault="004805A1" w:rsidP="004D7B7C">
            <w:pPr>
              <w:pStyle w:val="TableText"/>
              <w:rPr>
                <w:sz w:val="16"/>
                <w:szCs w:val="18"/>
              </w:rPr>
            </w:pPr>
            <w:r w:rsidRPr="006D7858">
              <w:rPr>
                <w:sz w:val="16"/>
                <w:szCs w:val="18"/>
              </w:rPr>
              <w:t xml:space="preserve">Fee per year of validity </w:t>
            </w:r>
          </w:p>
        </w:tc>
        <w:tc>
          <w:tcPr>
            <w:tcW w:w="1334" w:type="dxa"/>
            <w:shd w:val="clear" w:color="auto" w:fill="FFFFFF"/>
          </w:tcPr>
          <w:p w14:paraId="0A96D336" w14:textId="77777777" w:rsidR="004805A1" w:rsidRPr="006D7858" w:rsidRDefault="004805A1" w:rsidP="004D7B7C">
            <w:pPr>
              <w:pStyle w:val="TableText"/>
              <w:rPr>
                <w:sz w:val="16"/>
                <w:szCs w:val="18"/>
              </w:rPr>
            </w:pPr>
            <w:r w:rsidRPr="006D7858">
              <w:rPr>
                <w:sz w:val="16"/>
                <w:szCs w:val="18"/>
              </w:rPr>
              <w:t xml:space="preserve">£7.75 </w:t>
            </w:r>
            <w:r>
              <w:rPr>
                <w:sz w:val="16"/>
                <w:szCs w:val="18"/>
              </w:rPr>
              <w:br/>
            </w:r>
            <w:r w:rsidRPr="006D7858">
              <w:rPr>
                <w:sz w:val="16"/>
                <w:szCs w:val="18"/>
              </w:rPr>
              <w:t xml:space="preserve">($12) </w:t>
            </w:r>
          </w:p>
        </w:tc>
        <w:tc>
          <w:tcPr>
            <w:tcW w:w="1334" w:type="dxa"/>
            <w:shd w:val="clear" w:color="auto" w:fill="FFFFFF"/>
          </w:tcPr>
          <w:p w14:paraId="573177DC" w14:textId="77777777" w:rsidR="004805A1" w:rsidRPr="006D7858" w:rsidRDefault="004805A1" w:rsidP="004D7B7C">
            <w:pPr>
              <w:pStyle w:val="TableText"/>
              <w:rPr>
                <w:sz w:val="16"/>
                <w:szCs w:val="18"/>
              </w:rPr>
            </w:pPr>
            <w:r w:rsidRPr="006D7858">
              <w:rPr>
                <w:sz w:val="16"/>
                <w:szCs w:val="18"/>
              </w:rPr>
              <w:t xml:space="preserve">US$13.50 ($14) </w:t>
            </w:r>
          </w:p>
        </w:tc>
        <w:tc>
          <w:tcPr>
            <w:tcW w:w="1334" w:type="dxa"/>
            <w:shd w:val="clear" w:color="auto" w:fill="FFFFFF"/>
          </w:tcPr>
          <w:p w14:paraId="1FD02A6F" w14:textId="77777777" w:rsidR="004805A1" w:rsidRPr="006D7858" w:rsidRDefault="004805A1" w:rsidP="004D7B7C">
            <w:pPr>
              <w:pStyle w:val="TableText"/>
              <w:rPr>
                <w:sz w:val="16"/>
                <w:szCs w:val="18"/>
              </w:rPr>
            </w:pPr>
            <w:r w:rsidRPr="006D7858">
              <w:rPr>
                <w:sz w:val="16"/>
                <w:szCs w:val="18"/>
              </w:rPr>
              <w:t xml:space="preserve">NZ$30.66 </w:t>
            </w:r>
            <w:r>
              <w:rPr>
                <w:sz w:val="16"/>
                <w:szCs w:val="18"/>
              </w:rPr>
              <w:br/>
            </w:r>
            <w:r w:rsidRPr="006D7858">
              <w:rPr>
                <w:sz w:val="16"/>
                <w:szCs w:val="18"/>
              </w:rPr>
              <w:t xml:space="preserve">($24) </w:t>
            </w:r>
          </w:p>
        </w:tc>
        <w:tc>
          <w:tcPr>
            <w:tcW w:w="1334" w:type="dxa"/>
            <w:shd w:val="clear" w:color="auto" w:fill="FFFFFF"/>
          </w:tcPr>
          <w:p w14:paraId="0FF8B34D" w14:textId="77777777" w:rsidR="004805A1" w:rsidRPr="006D7858" w:rsidRDefault="004805A1" w:rsidP="004D7B7C">
            <w:pPr>
              <w:pStyle w:val="TableText"/>
              <w:rPr>
                <w:sz w:val="16"/>
                <w:szCs w:val="18"/>
              </w:rPr>
            </w:pPr>
            <w:r w:rsidRPr="006D7858">
              <w:rPr>
                <w:sz w:val="16"/>
                <w:szCs w:val="18"/>
              </w:rPr>
              <w:t xml:space="preserve">AU$23.30 </w:t>
            </w:r>
            <w:r>
              <w:rPr>
                <w:sz w:val="16"/>
                <w:szCs w:val="18"/>
              </w:rPr>
              <w:br/>
            </w:r>
            <w:r w:rsidRPr="006D7858">
              <w:rPr>
                <w:sz w:val="16"/>
                <w:szCs w:val="18"/>
              </w:rPr>
              <w:t xml:space="preserve">($24) </w:t>
            </w:r>
          </w:p>
        </w:tc>
        <w:tc>
          <w:tcPr>
            <w:tcW w:w="1265" w:type="dxa"/>
            <w:shd w:val="clear" w:color="auto" w:fill="FFFFFF"/>
          </w:tcPr>
          <w:p w14:paraId="530355AE" w14:textId="77777777" w:rsidR="004805A1" w:rsidRPr="006D7858" w:rsidRDefault="004805A1" w:rsidP="004D7B7C">
            <w:pPr>
              <w:pStyle w:val="TableText"/>
              <w:rPr>
                <w:sz w:val="16"/>
                <w:szCs w:val="18"/>
              </w:rPr>
            </w:pPr>
            <w:r w:rsidRPr="006D7858">
              <w:rPr>
                <w:sz w:val="16"/>
                <w:szCs w:val="18"/>
              </w:rPr>
              <w:t xml:space="preserve">10-year: $16 </w:t>
            </w:r>
            <w:r>
              <w:rPr>
                <w:sz w:val="16"/>
                <w:szCs w:val="18"/>
              </w:rPr>
              <w:br/>
            </w:r>
            <w:r w:rsidRPr="006D7858">
              <w:rPr>
                <w:sz w:val="16"/>
                <w:szCs w:val="18"/>
              </w:rPr>
              <w:t xml:space="preserve">5-year: $24 </w:t>
            </w:r>
          </w:p>
        </w:tc>
      </w:tr>
    </w:tbl>
    <w:p w14:paraId="6940DCC4" w14:textId="50FE5505" w:rsidR="000F717E" w:rsidRPr="004805A1" w:rsidRDefault="004805A1" w:rsidP="00DE2CDB">
      <w:pPr>
        <w:rPr>
          <w:rFonts w:ascii="Source Sans Pro" w:hAnsi="Source Sans Pro"/>
          <w:i/>
          <w:lang w:val="en-AU"/>
        </w:rPr>
      </w:pPr>
      <w:r w:rsidRPr="00397F68">
        <w:rPr>
          <w:b/>
          <w:color w:val="000000"/>
        </w:rPr>
        <w:t>Source</w:t>
      </w:r>
    </w:p>
    <w:sectPr w:rsidR="000F717E" w:rsidRPr="004805A1" w:rsidSect="00DD6CA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406E" w14:textId="77777777" w:rsidR="00A11F1C" w:rsidRDefault="00A11F1C" w:rsidP="00AD4167">
      <w:pPr>
        <w:spacing w:after="0" w:line="240" w:lineRule="auto"/>
      </w:pPr>
      <w:r>
        <w:separator/>
      </w:r>
    </w:p>
  </w:endnote>
  <w:endnote w:type="continuationSeparator" w:id="0">
    <w:p w14:paraId="7997DC0B" w14:textId="77777777" w:rsidR="00A11F1C" w:rsidRDefault="00A11F1C" w:rsidP="00AD4167">
      <w:pPr>
        <w:spacing w:after="0" w:line="240" w:lineRule="auto"/>
      </w:pPr>
      <w:r>
        <w:continuationSeparator/>
      </w:r>
    </w:p>
  </w:endnote>
  <w:endnote w:type="continuationNotice" w:id="1">
    <w:p w14:paraId="548BEB34" w14:textId="77777777" w:rsidR="00A11F1C" w:rsidRDefault="00A11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Sans">
    <w:altName w:val="Calibri"/>
    <w:panose1 w:val="00000000000000000000"/>
    <w:charset w:val="00"/>
    <w:family w:val="moder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DIN-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2527" w14:textId="77777777" w:rsidR="00A11F1C" w:rsidRDefault="00A11F1C" w:rsidP="00AD4167">
      <w:pPr>
        <w:spacing w:after="0" w:line="240" w:lineRule="auto"/>
      </w:pPr>
      <w:r>
        <w:separator/>
      </w:r>
    </w:p>
  </w:footnote>
  <w:footnote w:type="continuationSeparator" w:id="0">
    <w:p w14:paraId="0E0BCB00" w14:textId="77777777" w:rsidR="00A11F1C" w:rsidRDefault="00A11F1C" w:rsidP="00AD4167">
      <w:pPr>
        <w:spacing w:after="0" w:line="240" w:lineRule="auto"/>
      </w:pPr>
      <w:r>
        <w:continuationSeparator/>
      </w:r>
    </w:p>
  </w:footnote>
  <w:footnote w:type="continuationNotice" w:id="1">
    <w:p w14:paraId="020808A7" w14:textId="77777777" w:rsidR="00A11F1C" w:rsidRDefault="00A11F1C">
      <w:pPr>
        <w:spacing w:after="0" w:line="240" w:lineRule="auto"/>
      </w:pPr>
    </w:p>
  </w:footnote>
  <w:footnote w:id="2">
    <w:p w14:paraId="2BCC461B" w14:textId="77777777" w:rsidR="007B0458" w:rsidRPr="00397F68" w:rsidRDefault="007B0458" w:rsidP="007B0458">
      <w:pPr>
        <w:pStyle w:val="FootnoteText"/>
      </w:pPr>
      <w:r>
        <w:rPr>
          <w:rStyle w:val="FootnoteReference"/>
        </w:rPr>
        <w:footnoteRef/>
      </w:r>
      <w:r>
        <w:t xml:space="preserve"> </w:t>
      </w:r>
      <w:r>
        <w:tab/>
        <w:t>Examples of problems with current user charges which means change is required: better management of memorandum account, changes in input prices, changes in level of demand, service composition change, desire for better service performance.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750A"/>
    <w:multiLevelType w:val="hybridMultilevel"/>
    <w:tmpl w:val="BD02A1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5E62F65"/>
    <w:multiLevelType w:val="hybridMultilevel"/>
    <w:tmpl w:val="B92C6CD4"/>
    <w:lvl w:ilvl="0" w:tplc="7B88B23E">
      <w:start w:val="1"/>
      <w:numFmt w:val="decimal"/>
      <w:pStyle w:val="Numberedparagraph"/>
      <w:lvlText w:val="%1."/>
      <w:lvlJc w:val="left"/>
      <w:pPr>
        <w:ind w:left="1112" w:hanging="360"/>
      </w:pPr>
    </w:lvl>
    <w:lvl w:ilvl="1" w:tplc="14090019">
      <w:start w:val="1"/>
      <w:numFmt w:val="lowerLetter"/>
      <w:lvlText w:val="%2."/>
      <w:lvlJc w:val="left"/>
      <w:pPr>
        <w:ind w:left="1832" w:hanging="360"/>
      </w:pPr>
    </w:lvl>
    <w:lvl w:ilvl="2" w:tplc="1409001B" w:tentative="1">
      <w:start w:val="1"/>
      <w:numFmt w:val="lowerRoman"/>
      <w:lvlText w:val="%3."/>
      <w:lvlJc w:val="right"/>
      <w:pPr>
        <w:ind w:left="2552" w:hanging="180"/>
      </w:pPr>
    </w:lvl>
    <w:lvl w:ilvl="3" w:tplc="1409000F" w:tentative="1">
      <w:start w:val="1"/>
      <w:numFmt w:val="decimal"/>
      <w:lvlText w:val="%4."/>
      <w:lvlJc w:val="left"/>
      <w:pPr>
        <w:ind w:left="3272" w:hanging="360"/>
      </w:pPr>
    </w:lvl>
    <w:lvl w:ilvl="4" w:tplc="14090019" w:tentative="1">
      <w:start w:val="1"/>
      <w:numFmt w:val="lowerLetter"/>
      <w:lvlText w:val="%5."/>
      <w:lvlJc w:val="left"/>
      <w:pPr>
        <w:ind w:left="3992" w:hanging="360"/>
      </w:pPr>
    </w:lvl>
    <w:lvl w:ilvl="5" w:tplc="1409001B" w:tentative="1">
      <w:start w:val="1"/>
      <w:numFmt w:val="lowerRoman"/>
      <w:lvlText w:val="%6."/>
      <w:lvlJc w:val="right"/>
      <w:pPr>
        <w:ind w:left="4712" w:hanging="180"/>
      </w:pPr>
    </w:lvl>
    <w:lvl w:ilvl="6" w:tplc="1409000F" w:tentative="1">
      <w:start w:val="1"/>
      <w:numFmt w:val="decimal"/>
      <w:lvlText w:val="%7."/>
      <w:lvlJc w:val="left"/>
      <w:pPr>
        <w:ind w:left="5432" w:hanging="360"/>
      </w:pPr>
    </w:lvl>
    <w:lvl w:ilvl="7" w:tplc="14090019" w:tentative="1">
      <w:start w:val="1"/>
      <w:numFmt w:val="lowerLetter"/>
      <w:lvlText w:val="%8."/>
      <w:lvlJc w:val="left"/>
      <w:pPr>
        <w:ind w:left="6152" w:hanging="360"/>
      </w:pPr>
    </w:lvl>
    <w:lvl w:ilvl="8" w:tplc="1409001B" w:tentative="1">
      <w:start w:val="1"/>
      <w:numFmt w:val="lowerRoman"/>
      <w:lvlText w:val="%9."/>
      <w:lvlJc w:val="right"/>
      <w:pPr>
        <w:ind w:left="6872" w:hanging="180"/>
      </w:pPr>
    </w:lvl>
  </w:abstractNum>
  <w:abstractNum w:abstractNumId="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F0E6B24"/>
    <w:multiLevelType w:val="hybridMultilevel"/>
    <w:tmpl w:val="4AFE84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8DE5A8D"/>
    <w:multiLevelType w:val="hybridMultilevel"/>
    <w:tmpl w:val="B8E84E24"/>
    <w:lvl w:ilvl="0" w:tplc="E2C8BEB8">
      <w:start w:val="1"/>
      <w:numFmt w:val="bullet"/>
      <w:pStyle w:val="Bullet-lis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ED71140"/>
    <w:multiLevelType w:val="hybridMultilevel"/>
    <w:tmpl w:val="D2FA4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2351C8B"/>
    <w:multiLevelType w:val="hybridMultilevel"/>
    <w:tmpl w:val="E22C75D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D404BB2"/>
    <w:multiLevelType w:val="hybridMultilevel"/>
    <w:tmpl w:val="6D9094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4864DAB"/>
    <w:multiLevelType w:val="hybridMultilevel"/>
    <w:tmpl w:val="B6902B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7712818"/>
    <w:multiLevelType w:val="hybridMultilevel"/>
    <w:tmpl w:val="A1D6FFC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A700A35"/>
    <w:multiLevelType w:val="hybridMultilevel"/>
    <w:tmpl w:val="9F62062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A870BFE"/>
    <w:multiLevelType w:val="hybridMultilevel"/>
    <w:tmpl w:val="6584FE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AAC24C2"/>
    <w:multiLevelType w:val="hybridMultilevel"/>
    <w:tmpl w:val="D2DCC28C"/>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ECD7172"/>
    <w:multiLevelType w:val="hybridMultilevel"/>
    <w:tmpl w:val="BA3CFF10"/>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5F33FE"/>
    <w:multiLevelType w:val="hybridMultilevel"/>
    <w:tmpl w:val="3FEE1E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675257866">
    <w:abstractNumId w:val="2"/>
  </w:num>
  <w:num w:numId="2" w16cid:durableId="1324818078">
    <w:abstractNumId w:val="4"/>
  </w:num>
  <w:num w:numId="3" w16cid:durableId="2098285835">
    <w:abstractNumId w:val="1"/>
  </w:num>
  <w:num w:numId="4" w16cid:durableId="2024240468">
    <w:abstractNumId w:val="14"/>
  </w:num>
  <w:num w:numId="5" w16cid:durableId="1040713165">
    <w:abstractNumId w:val="3"/>
  </w:num>
  <w:num w:numId="6" w16cid:durableId="1625190579">
    <w:abstractNumId w:val="1"/>
    <w:lvlOverride w:ilvl="0">
      <w:startOverride w:val="1"/>
    </w:lvlOverride>
  </w:num>
  <w:num w:numId="7" w16cid:durableId="1369642455">
    <w:abstractNumId w:val="1"/>
    <w:lvlOverride w:ilvl="0">
      <w:startOverride w:val="1"/>
    </w:lvlOverride>
  </w:num>
  <w:num w:numId="8" w16cid:durableId="1823740644">
    <w:abstractNumId w:val="1"/>
    <w:lvlOverride w:ilvl="0">
      <w:startOverride w:val="1"/>
    </w:lvlOverride>
  </w:num>
  <w:num w:numId="9" w16cid:durableId="234707347">
    <w:abstractNumId w:val="1"/>
    <w:lvlOverride w:ilvl="0">
      <w:startOverride w:val="1"/>
    </w:lvlOverride>
  </w:num>
  <w:num w:numId="10" w16cid:durableId="464658522">
    <w:abstractNumId w:val="1"/>
    <w:lvlOverride w:ilvl="0">
      <w:startOverride w:val="1"/>
    </w:lvlOverride>
  </w:num>
  <w:num w:numId="11" w16cid:durableId="1832601931">
    <w:abstractNumId w:val="1"/>
    <w:lvlOverride w:ilvl="0">
      <w:startOverride w:val="1"/>
    </w:lvlOverride>
  </w:num>
  <w:num w:numId="12" w16cid:durableId="1472406862">
    <w:abstractNumId w:val="12"/>
  </w:num>
  <w:num w:numId="13" w16cid:durableId="740057392">
    <w:abstractNumId w:val="6"/>
  </w:num>
  <w:num w:numId="14" w16cid:durableId="1951619950">
    <w:abstractNumId w:val="8"/>
  </w:num>
  <w:num w:numId="15" w16cid:durableId="638613990">
    <w:abstractNumId w:val="5"/>
  </w:num>
  <w:num w:numId="16" w16cid:durableId="1543787488">
    <w:abstractNumId w:val="0"/>
  </w:num>
  <w:num w:numId="17" w16cid:durableId="50278538">
    <w:abstractNumId w:val="11"/>
  </w:num>
  <w:num w:numId="18" w16cid:durableId="1103723263">
    <w:abstractNumId w:val="10"/>
  </w:num>
  <w:num w:numId="19" w16cid:durableId="1367027646">
    <w:abstractNumId w:val="7"/>
  </w:num>
  <w:num w:numId="20" w16cid:durableId="30880990">
    <w:abstractNumId w:val="9"/>
  </w:num>
  <w:num w:numId="21" w16cid:durableId="1708407863">
    <w:abstractNumId w:val="13"/>
  </w:num>
  <w:num w:numId="22" w16cid:durableId="1897667969">
    <w:abstractNumId w:val="4"/>
  </w:num>
  <w:num w:numId="23" w16cid:durableId="545878755">
    <w:abstractNumId w:val="4"/>
  </w:num>
  <w:num w:numId="24" w16cid:durableId="1022899008">
    <w:abstractNumId w:val="4"/>
  </w:num>
  <w:num w:numId="25" w16cid:durableId="668824583">
    <w:abstractNumId w:val="4"/>
  </w:num>
  <w:num w:numId="26" w16cid:durableId="1702852331">
    <w:abstractNumId w:val="4"/>
  </w:num>
  <w:num w:numId="27" w16cid:durableId="2000885388">
    <w:abstractNumId w:val="4"/>
  </w:num>
  <w:num w:numId="28" w16cid:durableId="633872514">
    <w:abstractNumId w:val="4"/>
  </w:num>
  <w:num w:numId="29" w16cid:durableId="98219688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D1"/>
    <w:rsid w:val="0000038A"/>
    <w:rsid w:val="00000667"/>
    <w:rsid w:val="00000676"/>
    <w:rsid w:val="0000097C"/>
    <w:rsid w:val="00000C1B"/>
    <w:rsid w:val="00001587"/>
    <w:rsid w:val="000015A2"/>
    <w:rsid w:val="00001B3B"/>
    <w:rsid w:val="00001E8C"/>
    <w:rsid w:val="000024EE"/>
    <w:rsid w:val="000026DF"/>
    <w:rsid w:val="000036B4"/>
    <w:rsid w:val="00003771"/>
    <w:rsid w:val="00003E5F"/>
    <w:rsid w:val="0000472A"/>
    <w:rsid w:val="00004841"/>
    <w:rsid w:val="00005011"/>
    <w:rsid w:val="000054A7"/>
    <w:rsid w:val="00005576"/>
    <w:rsid w:val="000056C8"/>
    <w:rsid w:val="00005CF2"/>
    <w:rsid w:val="00006DB8"/>
    <w:rsid w:val="00006F46"/>
    <w:rsid w:val="0000756B"/>
    <w:rsid w:val="00007AAC"/>
    <w:rsid w:val="00007CF6"/>
    <w:rsid w:val="00010244"/>
    <w:rsid w:val="000106A6"/>
    <w:rsid w:val="0001089A"/>
    <w:rsid w:val="0001125B"/>
    <w:rsid w:val="000114C0"/>
    <w:rsid w:val="000115D6"/>
    <w:rsid w:val="000119DC"/>
    <w:rsid w:val="00011B84"/>
    <w:rsid w:val="00011C28"/>
    <w:rsid w:val="000120C6"/>
    <w:rsid w:val="00012582"/>
    <w:rsid w:val="00012978"/>
    <w:rsid w:val="00013204"/>
    <w:rsid w:val="00013A52"/>
    <w:rsid w:val="00013AF5"/>
    <w:rsid w:val="00013DED"/>
    <w:rsid w:val="00014C74"/>
    <w:rsid w:val="00015293"/>
    <w:rsid w:val="000152F5"/>
    <w:rsid w:val="0001533E"/>
    <w:rsid w:val="00015AF6"/>
    <w:rsid w:val="000160AF"/>
    <w:rsid w:val="00016921"/>
    <w:rsid w:val="00017278"/>
    <w:rsid w:val="0001734E"/>
    <w:rsid w:val="000173B6"/>
    <w:rsid w:val="000176F4"/>
    <w:rsid w:val="00017C3D"/>
    <w:rsid w:val="00017DE4"/>
    <w:rsid w:val="00017E53"/>
    <w:rsid w:val="00020497"/>
    <w:rsid w:val="000207BF"/>
    <w:rsid w:val="000208B3"/>
    <w:rsid w:val="0002096E"/>
    <w:rsid w:val="00020DDE"/>
    <w:rsid w:val="000213D4"/>
    <w:rsid w:val="00021C64"/>
    <w:rsid w:val="000221C0"/>
    <w:rsid w:val="0002255A"/>
    <w:rsid w:val="000227B4"/>
    <w:rsid w:val="000230B9"/>
    <w:rsid w:val="00023176"/>
    <w:rsid w:val="000231C0"/>
    <w:rsid w:val="00023416"/>
    <w:rsid w:val="00023B9C"/>
    <w:rsid w:val="00023EA0"/>
    <w:rsid w:val="00023FAA"/>
    <w:rsid w:val="0002408E"/>
    <w:rsid w:val="00024F98"/>
    <w:rsid w:val="00025055"/>
    <w:rsid w:val="000251B8"/>
    <w:rsid w:val="00025216"/>
    <w:rsid w:val="00025828"/>
    <w:rsid w:val="00025D1B"/>
    <w:rsid w:val="00025DA5"/>
    <w:rsid w:val="00026FC3"/>
    <w:rsid w:val="00027681"/>
    <w:rsid w:val="000277FD"/>
    <w:rsid w:val="00027975"/>
    <w:rsid w:val="00027D46"/>
    <w:rsid w:val="00027DF6"/>
    <w:rsid w:val="00027FF4"/>
    <w:rsid w:val="0003046F"/>
    <w:rsid w:val="00030697"/>
    <w:rsid w:val="00030B86"/>
    <w:rsid w:val="00030BCC"/>
    <w:rsid w:val="00030D73"/>
    <w:rsid w:val="00030ED3"/>
    <w:rsid w:val="00031861"/>
    <w:rsid w:val="00031DF5"/>
    <w:rsid w:val="00032A27"/>
    <w:rsid w:val="000330C6"/>
    <w:rsid w:val="000332DE"/>
    <w:rsid w:val="000336AC"/>
    <w:rsid w:val="00033ABD"/>
    <w:rsid w:val="00033DFB"/>
    <w:rsid w:val="00034A5A"/>
    <w:rsid w:val="00035059"/>
    <w:rsid w:val="000351A6"/>
    <w:rsid w:val="000356E0"/>
    <w:rsid w:val="00036027"/>
    <w:rsid w:val="00036BB7"/>
    <w:rsid w:val="00037348"/>
    <w:rsid w:val="000377D6"/>
    <w:rsid w:val="00037AF4"/>
    <w:rsid w:val="00037C1F"/>
    <w:rsid w:val="00037E52"/>
    <w:rsid w:val="00040239"/>
    <w:rsid w:val="00040626"/>
    <w:rsid w:val="000409D2"/>
    <w:rsid w:val="00040F9A"/>
    <w:rsid w:val="00041CF2"/>
    <w:rsid w:val="0004233C"/>
    <w:rsid w:val="00042874"/>
    <w:rsid w:val="00043BEB"/>
    <w:rsid w:val="00043D2C"/>
    <w:rsid w:val="00044342"/>
    <w:rsid w:val="000445D0"/>
    <w:rsid w:val="00044936"/>
    <w:rsid w:val="00044A44"/>
    <w:rsid w:val="00046D2B"/>
    <w:rsid w:val="00046E27"/>
    <w:rsid w:val="000471E9"/>
    <w:rsid w:val="00047511"/>
    <w:rsid w:val="0004753E"/>
    <w:rsid w:val="000477E4"/>
    <w:rsid w:val="0004789B"/>
    <w:rsid w:val="00050078"/>
    <w:rsid w:val="00050640"/>
    <w:rsid w:val="00050E36"/>
    <w:rsid w:val="0005151D"/>
    <w:rsid w:val="000516AF"/>
    <w:rsid w:val="000520BD"/>
    <w:rsid w:val="000520E0"/>
    <w:rsid w:val="00053508"/>
    <w:rsid w:val="00053B1A"/>
    <w:rsid w:val="00054115"/>
    <w:rsid w:val="000544A4"/>
    <w:rsid w:val="0005453C"/>
    <w:rsid w:val="00054908"/>
    <w:rsid w:val="00055396"/>
    <w:rsid w:val="000559DD"/>
    <w:rsid w:val="00055CFA"/>
    <w:rsid w:val="00055E12"/>
    <w:rsid w:val="0005664E"/>
    <w:rsid w:val="000566FE"/>
    <w:rsid w:val="000568C8"/>
    <w:rsid w:val="00056949"/>
    <w:rsid w:val="000571A7"/>
    <w:rsid w:val="000576C2"/>
    <w:rsid w:val="00057745"/>
    <w:rsid w:val="0006026B"/>
    <w:rsid w:val="00060A34"/>
    <w:rsid w:val="000615A8"/>
    <w:rsid w:val="00063814"/>
    <w:rsid w:val="00063E79"/>
    <w:rsid w:val="00064FD0"/>
    <w:rsid w:val="00065008"/>
    <w:rsid w:val="000651EA"/>
    <w:rsid w:val="000654B7"/>
    <w:rsid w:val="0006559D"/>
    <w:rsid w:val="000658AF"/>
    <w:rsid w:val="000664E0"/>
    <w:rsid w:val="000667F3"/>
    <w:rsid w:val="00066ECA"/>
    <w:rsid w:val="000671EE"/>
    <w:rsid w:val="00070681"/>
    <w:rsid w:val="000706BC"/>
    <w:rsid w:val="000709C4"/>
    <w:rsid w:val="000714C0"/>
    <w:rsid w:val="0007150A"/>
    <w:rsid w:val="00071AD2"/>
    <w:rsid w:val="00071BD0"/>
    <w:rsid w:val="00071D57"/>
    <w:rsid w:val="00072169"/>
    <w:rsid w:val="000721AE"/>
    <w:rsid w:val="00072352"/>
    <w:rsid w:val="000723DB"/>
    <w:rsid w:val="00073583"/>
    <w:rsid w:val="00073B51"/>
    <w:rsid w:val="0007473C"/>
    <w:rsid w:val="000748D3"/>
    <w:rsid w:val="00074B27"/>
    <w:rsid w:val="0007518D"/>
    <w:rsid w:val="00075293"/>
    <w:rsid w:val="00076109"/>
    <w:rsid w:val="00076CE0"/>
    <w:rsid w:val="00076E59"/>
    <w:rsid w:val="00077182"/>
    <w:rsid w:val="00077DFA"/>
    <w:rsid w:val="00077FE9"/>
    <w:rsid w:val="00080043"/>
    <w:rsid w:val="00080989"/>
    <w:rsid w:val="000812C7"/>
    <w:rsid w:val="00081C9D"/>
    <w:rsid w:val="00082C3D"/>
    <w:rsid w:val="00082E66"/>
    <w:rsid w:val="00082E99"/>
    <w:rsid w:val="000830B2"/>
    <w:rsid w:val="00084153"/>
    <w:rsid w:val="00084761"/>
    <w:rsid w:val="0008479C"/>
    <w:rsid w:val="000859C6"/>
    <w:rsid w:val="00085DC5"/>
    <w:rsid w:val="0008639B"/>
    <w:rsid w:val="000871C8"/>
    <w:rsid w:val="000877A9"/>
    <w:rsid w:val="0009027F"/>
    <w:rsid w:val="000908B1"/>
    <w:rsid w:val="000912E5"/>
    <w:rsid w:val="000919C3"/>
    <w:rsid w:val="00091A39"/>
    <w:rsid w:val="0009241E"/>
    <w:rsid w:val="00092C4D"/>
    <w:rsid w:val="00093AD3"/>
    <w:rsid w:val="00093BF6"/>
    <w:rsid w:val="00094C95"/>
    <w:rsid w:val="00094DEB"/>
    <w:rsid w:val="00094EF2"/>
    <w:rsid w:val="0009520F"/>
    <w:rsid w:val="00095290"/>
    <w:rsid w:val="00095EB0"/>
    <w:rsid w:val="000961EB"/>
    <w:rsid w:val="00096369"/>
    <w:rsid w:val="000964C7"/>
    <w:rsid w:val="00096F23"/>
    <w:rsid w:val="000A0444"/>
    <w:rsid w:val="000A0E19"/>
    <w:rsid w:val="000A15C7"/>
    <w:rsid w:val="000A1AF9"/>
    <w:rsid w:val="000A1EFE"/>
    <w:rsid w:val="000A2148"/>
    <w:rsid w:val="000A3BB2"/>
    <w:rsid w:val="000A40B7"/>
    <w:rsid w:val="000A4F00"/>
    <w:rsid w:val="000A4F6F"/>
    <w:rsid w:val="000A5374"/>
    <w:rsid w:val="000A5457"/>
    <w:rsid w:val="000A648D"/>
    <w:rsid w:val="000A662B"/>
    <w:rsid w:val="000A740B"/>
    <w:rsid w:val="000A74FF"/>
    <w:rsid w:val="000A76DE"/>
    <w:rsid w:val="000A7F64"/>
    <w:rsid w:val="000B06B7"/>
    <w:rsid w:val="000B06BA"/>
    <w:rsid w:val="000B0718"/>
    <w:rsid w:val="000B09EE"/>
    <w:rsid w:val="000B0B93"/>
    <w:rsid w:val="000B0CC6"/>
    <w:rsid w:val="000B0FE1"/>
    <w:rsid w:val="000B178B"/>
    <w:rsid w:val="000B2271"/>
    <w:rsid w:val="000B3640"/>
    <w:rsid w:val="000B3B30"/>
    <w:rsid w:val="000B4619"/>
    <w:rsid w:val="000B574E"/>
    <w:rsid w:val="000B5B06"/>
    <w:rsid w:val="000B6DC2"/>
    <w:rsid w:val="000B72DC"/>
    <w:rsid w:val="000B7332"/>
    <w:rsid w:val="000B7474"/>
    <w:rsid w:val="000B7B01"/>
    <w:rsid w:val="000B7BC1"/>
    <w:rsid w:val="000C1956"/>
    <w:rsid w:val="000C1A0D"/>
    <w:rsid w:val="000C1CAC"/>
    <w:rsid w:val="000C26FA"/>
    <w:rsid w:val="000C2994"/>
    <w:rsid w:val="000C324F"/>
    <w:rsid w:val="000C34FF"/>
    <w:rsid w:val="000C41AF"/>
    <w:rsid w:val="000C4710"/>
    <w:rsid w:val="000C48D6"/>
    <w:rsid w:val="000C48F8"/>
    <w:rsid w:val="000C4E3C"/>
    <w:rsid w:val="000C56B3"/>
    <w:rsid w:val="000C56F5"/>
    <w:rsid w:val="000C5CB9"/>
    <w:rsid w:val="000C6328"/>
    <w:rsid w:val="000C681A"/>
    <w:rsid w:val="000D06CC"/>
    <w:rsid w:val="000D0739"/>
    <w:rsid w:val="000D19FB"/>
    <w:rsid w:val="000D3250"/>
    <w:rsid w:val="000D3A3D"/>
    <w:rsid w:val="000D3F7C"/>
    <w:rsid w:val="000D4688"/>
    <w:rsid w:val="000D4AF3"/>
    <w:rsid w:val="000D501A"/>
    <w:rsid w:val="000D6B37"/>
    <w:rsid w:val="000D71EE"/>
    <w:rsid w:val="000D7B8F"/>
    <w:rsid w:val="000E04EF"/>
    <w:rsid w:val="000E07D8"/>
    <w:rsid w:val="000E1492"/>
    <w:rsid w:val="000E1EE2"/>
    <w:rsid w:val="000E29FD"/>
    <w:rsid w:val="000E2B8A"/>
    <w:rsid w:val="000E321E"/>
    <w:rsid w:val="000E3C08"/>
    <w:rsid w:val="000E3D68"/>
    <w:rsid w:val="000E422A"/>
    <w:rsid w:val="000E4684"/>
    <w:rsid w:val="000E4DD8"/>
    <w:rsid w:val="000E4E15"/>
    <w:rsid w:val="000E4EBB"/>
    <w:rsid w:val="000E5233"/>
    <w:rsid w:val="000E5368"/>
    <w:rsid w:val="000E5789"/>
    <w:rsid w:val="000E6652"/>
    <w:rsid w:val="000E678C"/>
    <w:rsid w:val="000E68ED"/>
    <w:rsid w:val="000E6AFF"/>
    <w:rsid w:val="000E6C61"/>
    <w:rsid w:val="000E7360"/>
    <w:rsid w:val="000E7809"/>
    <w:rsid w:val="000E784D"/>
    <w:rsid w:val="000E7934"/>
    <w:rsid w:val="000F0355"/>
    <w:rsid w:val="000F09E4"/>
    <w:rsid w:val="000F1206"/>
    <w:rsid w:val="000F260E"/>
    <w:rsid w:val="000F2C5C"/>
    <w:rsid w:val="000F2F31"/>
    <w:rsid w:val="000F35C1"/>
    <w:rsid w:val="000F4442"/>
    <w:rsid w:val="000F468B"/>
    <w:rsid w:val="000F483D"/>
    <w:rsid w:val="000F48D5"/>
    <w:rsid w:val="000F48E7"/>
    <w:rsid w:val="000F4B05"/>
    <w:rsid w:val="000F573D"/>
    <w:rsid w:val="000F5A44"/>
    <w:rsid w:val="000F5AC3"/>
    <w:rsid w:val="000F5D7D"/>
    <w:rsid w:val="000F6197"/>
    <w:rsid w:val="000F61BA"/>
    <w:rsid w:val="000F62AE"/>
    <w:rsid w:val="000F64F5"/>
    <w:rsid w:val="000F683E"/>
    <w:rsid w:val="000F6B29"/>
    <w:rsid w:val="000F717E"/>
    <w:rsid w:val="000F755B"/>
    <w:rsid w:val="000F7697"/>
    <w:rsid w:val="001005CE"/>
    <w:rsid w:val="00100879"/>
    <w:rsid w:val="00100BCF"/>
    <w:rsid w:val="00100C59"/>
    <w:rsid w:val="001012EB"/>
    <w:rsid w:val="001019D0"/>
    <w:rsid w:val="00101B66"/>
    <w:rsid w:val="00102097"/>
    <w:rsid w:val="0010259B"/>
    <w:rsid w:val="00102A5C"/>
    <w:rsid w:val="00102A8C"/>
    <w:rsid w:val="00103AEB"/>
    <w:rsid w:val="00103DB3"/>
    <w:rsid w:val="00104259"/>
    <w:rsid w:val="0010478E"/>
    <w:rsid w:val="00104D3C"/>
    <w:rsid w:val="00104DEB"/>
    <w:rsid w:val="00105156"/>
    <w:rsid w:val="001051CB"/>
    <w:rsid w:val="00105929"/>
    <w:rsid w:val="00105974"/>
    <w:rsid w:val="001074ED"/>
    <w:rsid w:val="00107ADB"/>
    <w:rsid w:val="001102D9"/>
    <w:rsid w:val="00110461"/>
    <w:rsid w:val="001104B6"/>
    <w:rsid w:val="001106A4"/>
    <w:rsid w:val="00110871"/>
    <w:rsid w:val="001109DD"/>
    <w:rsid w:val="00110C30"/>
    <w:rsid w:val="00111411"/>
    <w:rsid w:val="00111A46"/>
    <w:rsid w:val="00112BCA"/>
    <w:rsid w:val="0011304E"/>
    <w:rsid w:val="00113462"/>
    <w:rsid w:val="00113564"/>
    <w:rsid w:val="0011359F"/>
    <w:rsid w:val="00113769"/>
    <w:rsid w:val="0011405C"/>
    <w:rsid w:val="00114A5B"/>
    <w:rsid w:val="00114E40"/>
    <w:rsid w:val="00114EAE"/>
    <w:rsid w:val="001153F7"/>
    <w:rsid w:val="0011594A"/>
    <w:rsid w:val="00116A86"/>
    <w:rsid w:val="00116B6C"/>
    <w:rsid w:val="00116EE2"/>
    <w:rsid w:val="00117FF5"/>
    <w:rsid w:val="00120894"/>
    <w:rsid w:val="00120A49"/>
    <w:rsid w:val="00120B77"/>
    <w:rsid w:val="00120B8F"/>
    <w:rsid w:val="00120F72"/>
    <w:rsid w:val="001210A4"/>
    <w:rsid w:val="0012111F"/>
    <w:rsid w:val="001213A0"/>
    <w:rsid w:val="00121FD5"/>
    <w:rsid w:val="00122538"/>
    <w:rsid w:val="00122D23"/>
    <w:rsid w:val="00123D3C"/>
    <w:rsid w:val="00125CCB"/>
    <w:rsid w:val="0012621A"/>
    <w:rsid w:val="00127670"/>
    <w:rsid w:val="00127A4F"/>
    <w:rsid w:val="00130CB2"/>
    <w:rsid w:val="0013111D"/>
    <w:rsid w:val="00131565"/>
    <w:rsid w:val="00131C35"/>
    <w:rsid w:val="001322EB"/>
    <w:rsid w:val="00132428"/>
    <w:rsid w:val="00132624"/>
    <w:rsid w:val="00132BED"/>
    <w:rsid w:val="00133A78"/>
    <w:rsid w:val="00133BB6"/>
    <w:rsid w:val="00133DE7"/>
    <w:rsid w:val="001340F0"/>
    <w:rsid w:val="00134B31"/>
    <w:rsid w:val="00134B73"/>
    <w:rsid w:val="00134F06"/>
    <w:rsid w:val="0013504D"/>
    <w:rsid w:val="0013533B"/>
    <w:rsid w:val="00135493"/>
    <w:rsid w:val="0013673E"/>
    <w:rsid w:val="00136FA9"/>
    <w:rsid w:val="001379D9"/>
    <w:rsid w:val="0014007D"/>
    <w:rsid w:val="0014119A"/>
    <w:rsid w:val="00141500"/>
    <w:rsid w:val="00142E5B"/>
    <w:rsid w:val="00143172"/>
    <w:rsid w:val="001432A2"/>
    <w:rsid w:val="0014338C"/>
    <w:rsid w:val="001435B8"/>
    <w:rsid w:val="00143643"/>
    <w:rsid w:val="001438D8"/>
    <w:rsid w:val="00143ABA"/>
    <w:rsid w:val="0014462C"/>
    <w:rsid w:val="00144C8F"/>
    <w:rsid w:val="00144F3D"/>
    <w:rsid w:val="0014520F"/>
    <w:rsid w:val="00145683"/>
    <w:rsid w:val="001461C1"/>
    <w:rsid w:val="0014716B"/>
    <w:rsid w:val="001475AD"/>
    <w:rsid w:val="00147E5D"/>
    <w:rsid w:val="001503F8"/>
    <w:rsid w:val="0015108D"/>
    <w:rsid w:val="001511D4"/>
    <w:rsid w:val="00152D4F"/>
    <w:rsid w:val="00152FC0"/>
    <w:rsid w:val="0015322D"/>
    <w:rsid w:val="0015345A"/>
    <w:rsid w:val="0015362A"/>
    <w:rsid w:val="001536F5"/>
    <w:rsid w:val="0015399C"/>
    <w:rsid w:val="00153ACF"/>
    <w:rsid w:val="001541E1"/>
    <w:rsid w:val="00154336"/>
    <w:rsid w:val="001543C7"/>
    <w:rsid w:val="001557A1"/>
    <w:rsid w:val="00155ADB"/>
    <w:rsid w:val="00155B87"/>
    <w:rsid w:val="00156856"/>
    <w:rsid w:val="001572AA"/>
    <w:rsid w:val="0016007B"/>
    <w:rsid w:val="00160909"/>
    <w:rsid w:val="00160E90"/>
    <w:rsid w:val="00160FC4"/>
    <w:rsid w:val="0016254C"/>
    <w:rsid w:val="00162871"/>
    <w:rsid w:val="00162999"/>
    <w:rsid w:val="00162D17"/>
    <w:rsid w:val="00162D1E"/>
    <w:rsid w:val="00163048"/>
    <w:rsid w:val="0016316A"/>
    <w:rsid w:val="001640CE"/>
    <w:rsid w:val="0016425A"/>
    <w:rsid w:val="00164A1A"/>
    <w:rsid w:val="001655F2"/>
    <w:rsid w:val="00165A3E"/>
    <w:rsid w:val="00165BCE"/>
    <w:rsid w:val="00165D47"/>
    <w:rsid w:val="00166572"/>
    <w:rsid w:val="00166EED"/>
    <w:rsid w:val="001673E3"/>
    <w:rsid w:val="00167E60"/>
    <w:rsid w:val="00170E0E"/>
    <w:rsid w:val="00171BA9"/>
    <w:rsid w:val="00171D93"/>
    <w:rsid w:val="00171F57"/>
    <w:rsid w:val="001724CC"/>
    <w:rsid w:val="00172C35"/>
    <w:rsid w:val="0017316B"/>
    <w:rsid w:val="00173C46"/>
    <w:rsid w:val="00174117"/>
    <w:rsid w:val="00174244"/>
    <w:rsid w:val="00175045"/>
    <w:rsid w:val="001764FC"/>
    <w:rsid w:val="00176BE6"/>
    <w:rsid w:val="00176EC6"/>
    <w:rsid w:val="00177030"/>
    <w:rsid w:val="00177233"/>
    <w:rsid w:val="001774B3"/>
    <w:rsid w:val="00177A73"/>
    <w:rsid w:val="001803FE"/>
    <w:rsid w:val="0018081D"/>
    <w:rsid w:val="00180835"/>
    <w:rsid w:val="001808BB"/>
    <w:rsid w:val="0018103C"/>
    <w:rsid w:val="001819A9"/>
    <w:rsid w:val="00181DFA"/>
    <w:rsid w:val="00181EF5"/>
    <w:rsid w:val="001823CC"/>
    <w:rsid w:val="00182713"/>
    <w:rsid w:val="0018295C"/>
    <w:rsid w:val="00182D88"/>
    <w:rsid w:val="00183246"/>
    <w:rsid w:val="001835EE"/>
    <w:rsid w:val="00183B3D"/>
    <w:rsid w:val="00183B61"/>
    <w:rsid w:val="0018424D"/>
    <w:rsid w:val="0018436E"/>
    <w:rsid w:val="001847CF"/>
    <w:rsid w:val="00184AF5"/>
    <w:rsid w:val="00184E2C"/>
    <w:rsid w:val="001852D2"/>
    <w:rsid w:val="00185C6E"/>
    <w:rsid w:val="00186131"/>
    <w:rsid w:val="00186525"/>
    <w:rsid w:val="00187189"/>
    <w:rsid w:val="00187BDB"/>
    <w:rsid w:val="00187DCA"/>
    <w:rsid w:val="00190183"/>
    <w:rsid w:val="001903C6"/>
    <w:rsid w:val="00190651"/>
    <w:rsid w:val="001908F4"/>
    <w:rsid w:val="00191002"/>
    <w:rsid w:val="00191299"/>
    <w:rsid w:val="001912BD"/>
    <w:rsid w:val="00191341"/>
    <w:rsid w:val="0019153F"/>
    <w:rsid w:val="001916DA"/>
    <w:rsid w:val="001918F8"/>
    <w:rsid w:val="00192258"/>
    <w:rsid w:val="0019243C"/>
    <w:rsid w:val="00192DB4"/>
    <w:rsid w:val="00193261"/>
    <w:rsid w:val="0019396C"/>
    <w:rsid w:val="0019437B"/>
    <w:rsid w:val="0019502E"/>
    <w:rsid w:val="001952F6"/>
    <w:rsid w:val="0019685A"/>
    <w:rsid w:val="00196870"/>
    <w:rsid w:val="00196DFF"/>
    <w:rsid w:val="00196F7D"/>
    <w:rsid w:val="00196F94"/>
    <w:rsid w:val="001972F1"/>
    <w:rsid w:val="00197719"/>
    <w:rsid w:val="001977F5"/>
    <w:rsid w:val="00197A42"/>
    <w:rsid w:val="001A0782"/>
    <w:rsid w:val="001A0A6E"/>
    <w:rsid w:val="001A190C"/>
    <w:rsid w:val="001A2070"/>
    <w:rsid w:val="001A2288"/>
    <w:rsid w:val="001A2719"/>
    <w:rsid w:val="001A273E"/>
    <w:rsid w:val="001A313F"/>
    <w:rsid w:val="001A3908"/>
    <w:rsid w:val="001A466C"/>
    <w:rsid w:val="001A486C"/>
    <w:rsid w:val="001A4A29"/>
    <w:rsid w:val="001A500C"/>
    <w:rsid w:val="001A7633"/>
    <w:rsid w:val="001A7B82"/>
    <w:rsid w:val="001A7C47"/>
    <w:rsid w:val="001A7DD7"/>
    <w:rsid w:val="001B0390"/>
    <w:rsid w:val="001B0F97"/>
    <w:rsid w:val="001B156F"/>
    <w:rsid w:val="001B15FD"/>
    <w:rsid w:val="001B1614"/>
    <w:rsid w:val="001B2038"/>
    <w:rsid w:val="001B229A"/>
    <w:rsid w:val="001B251C"/>
    <w:rsid w:val="001B478D"/>
    <w:rsid w:val="001B54C1"/>
    <w:rsid w:val="001B5B7D"/>
    <w:rsid w:val="001B5E2E"/>
    <w:rsid w:val="001B7B43"/>
    <w:rsid w:val="001C0E01"/>
    <w:rsid w:val="001C18D6"/>
    <w:rsid w:val="001C3826"/>
    <w:rsid w:val="001C3B74"/>
    <w:rsid w:val="001C4B2B"/>
    <w:rsid w:val="001C51B6"/>
    <w:rsid w:val="001C5353"/>
    <w:rsid w:val="001C5966"/>
    <w:rsid w:val="001C6689"/>
    <w:rsid w:val="001C66AD"/>
    <w:rsid w:val="001C6820"/>
    <w:rsid w:val="001C72B5"/>
    <w:rsid w:val="001C7327"/>
    <w:rsid w:val="001D046C"/>
    <w:rsid w:val="001D0657"/>
    <w:rsid w:val="001D0937"/>
    <w:rsid w:val="001D0CB3"/>
    <w:rsid w:val="001D0EEE"/>
    <w:rsid w:val="001D1088"/>
    <w:rsid w:val="001D1B27"/>
    <w:rsid w:val="001D3479"/>
    <w:rsid w:val="001D3FF5"/>
    <w:rsid w:val="001D41AF"/>
    <w:rsid w:val="001D4C1A"/>
    <w:rsid w:val="001D4FC2"/>
    <w:rsid w:val="001D51C7"/>
    <w:rsid w:val="001D525F"/>
    <w:rsid w:val="001D52FB"/>
    <w:rsid w:val="001D6006"/>
    <w:rsid w:val="001D7177"/>
    <w:rsid w:val="001D7451"/>
    <w:rsid w:val="001D79BA"/>
    <w:rsid w:val="001E0087"/>
    <w:rsid w:val="001E0E8C"/>
    <w:rsid w:val="001E0F0B"/>
    <w:rsid w:val="001E1D8A"/>
    <w:rsid w:val="001E21B4"/>
    <w:rsid w:val="001E25AC"/>
    <w:rsid w:val="001E2C32"/>
    <w:rsid w:val="001E355E"/>
    <w:rsid w:val="001E3940"/>
    <w:rsid w:val="001E3D69"/>
    <w:rsid w:val="001E3EC0"/>
    <w:rsid w:val="001E4377"/>
    <w:rsid w:val="001E43E2"/>
    <w:rsid w:val="001E4A4F"/>
    <w:rsid w:val="001E50E4"/>
    <w:rsid w:val="001E52A0"/>
    <w:rsid w:val="001E5CE8"/>
    <w:rsid w:val="001E5DCF"/>
    <w:rsid w:val="001E6766"/>
    <w:rsid w:val="001E6873"/>
    <w:rsid w:val="001E6F6A"/>
    <w:rsid w:val="001E7708"/>
    <w:rsid w:val="001E7A6B"/>
    <w:rsid w:val="001F0B86"/>
    <w:rsid w:val="001F13CB"/>
    <w:rsid w:val="001F184C"/>
    <w:rsid w:val="001F2008"/>
    <w:rsid w:val="001F2653"/>
    <w:rsid w:val="001F2797"/>
    <w:rsid w:val="001F2D6B"/>
    <w:rsid w:val="001F3367"/>
    <w:rsid w:val="001F3618"/>
    <w:rsid w:val="001F3685"/>
    <w:rsid w:val="001F370E"/>
    <w:rsid w:val="001F4094"/>
    <w:rsid w:val="001F469C"/>
    <w:rsid w:val="001F4700"/>
    <w:rsid w:val="001F4896"/>
    <w:rsid w:val="001F48F4"/>
    <w:rsid w:val="001F5029"/>
    <w:rsid w:val="001F5091"/>
    <w:rsid w:val="001F568F"/>
    <w:rsid w:val="001F5D77"/>
    <w:rsid w:val="001F63AB"/>
    <w:rsid w:val="001F64E8"/>
    <w:rsid w:val="001F6CFD"/>
    <w:rsid w:val="001F7090"/>
    <w:rsid w:val="001F7134"/>
    <w:rsid w:val="001F71B6"/>
    <w:rsid w:val="001F786E"/>
    <w:rsid w:val="001F7D67"/>
    <w:rsid w:val="00200176"/>
    <w:rsid w:val="002003F5"/>
    <w:rsid w:val="002008D5"/>
    <w:rsid w:val="00200B2B"/>
    <w:rsid w:val="00200E91"/>
    <w:rsid w:val="00201CC1"/>
    <w:rsid w:val="0020207B"/>
    <w:rsid w:val="00202D9D"/>
    <w:rsid w:val="00203220"/>
    <w:rsid w:val="00203F8E"/>
    <w:rsid w:val="00203FED"/>
    <w:rsid w:val="0020416D"/>
    <w:rsid w:val="00204398"/>
    <w:rsid w:val="0020468C"/>
    <w:rsid w:val="00204C5A"/>
    <w:rsid w:val="0020530C"/>
    <w:rsid w:val="00205CE6"/>
    <w:rsid w:val="00206211"/>
    <w:rsid w:val="0020637D"/>
    <w:rsid w:val="00206807"/>
    <w:rsid w:val="002068FF"/>
    <w:rsid w:val="00206A44"/>
    <w:rsid w:val="00206A8F"/>
    <w:rsid w:val="002074D3"/>
    <w:rsid w:val="0020768A"/>
    <w:rsid w:val="002079BE"/>
    <w:rsid w:val="002105DE"/>
    <w:rsid w:val="00211426"/>
    <w:rsid w:val="0021279A"/>
    <w:rsid w:val="00212A3F"/>
    <w:rsid w:val="0021384D"/>
    <w:rsid w:val="00214F5E"/>
    <w:rsid w:val="0021610F"/>
    <w:rsid w:val="00216433"/>
    <w:rsid w:val="002166EB"/>
    <w:rsid w:val="00216E34"/>
    <w:rsid w:val="00220118"/>
    <w:rsid w:val="0022076C"/>
    <w:rsid w:val="002211AD"/>
    <w:rsid w:val="00221E68"/>
    <w:rsid w:val="00221F61"/>
    <w:rsid w:val="002229A1"/>
    <w:rsid w:val="00222AD6"/>
    <w:rsid w:val="00223DB4"/>
    <w:rsid w:val="002246F8"/>
    <w:rsid w:val="00224ACF"/>
    <w:rsid w:val="00224AFB"/>
    <w:rsid w:val="00224C1D"/>
    <w:rsid w:val="00225AF3"/>
    <w:rsid w:val="002260C4"/>
    <w:rsid w:val="002267F4"/>
    <w:rsid w:val="002276A9"/>
    <w:rsid w:val="00230049"/>
    <w:rsid w:val="002301B1"/>
    <w:rsid w:val="002307E8"/>
    <w:rsid w:val="002309FD"/>
    <w:rsid w:val="00230C86"/>
    <w:rsid w:val="00231003"/>
    <w:rsid w:val="00231C1F"/>
    <w:rsid w:val="00231CB3"/>
    <w:rsid w:val="00231CD1"/>
    <w:rsid w:val="00232893"/>
    <w:rsid w:val="002328F0"/>
    <w:rsid w:val="002329F6"/>
    <w:rsid w:val="00232B99"/>
    <w:rsid w:val="00232C21"/>
    <w:rsid w:val="00232D3F"/>
    <w:rsid w:val="00233479"/>
    <w:rsid w:val="00233671"/>
    <w:rsid w:val="00234735"/>
    <w:rsid w:val="00234C29"/>
    <w:rsid w:val="00235579"/>
    <w:rsid w:val="00235EB1"/>
    <w:rsid w:val="002361A8"/>
    <w:rsid w:val="00236BFC"/>
    <w:rsid w:val="00236E24"/>
    <w:rsid w:val="00236ECB"/>
    <w:rsid w:val="002374EE"/>
    <w:rsid w:val="0023765A"/>
    <w:rsid w:val="00237BAF"/>
    <w:rsid w:val="00240869"/>
    <w:rsid w:val="00240D65"/>
    <w:rsid w:val="00241345"/>
    <w:rsid w:val="002417E0"/>
    <w:rsid w:val="002418B8"/>
    <w:rsid w:val="0024192D"/>
    <w:rsid w:val="00241E7B"/>
    <w:rsid w:val="00242556"/>
    <w:rsid w:val="0024290A"/>
    <w:rsid w:val="00242F80"/>
    <w:rsid w:val="0024313A"/>
    <w:rsid w:val="0024320B"/>
    <w:rsid w:val="002437EF"/>
    <w:rsid w:val="00243E0E"/>
    <w:rsid w:val="00243E1D"/>
    <w:rsid w:val="00244390"/>
    <w:rsid w:val="00245337"/>
    <w:rsid w:val="002456F0"/>
    <w:rsid w:val="00245DBF"/>
    <w:rsid w:val="00246011"/>
    <w:rsid w:val="00246583"/>
    <w:rsid w:val="00246FEB"/>
    <w:rsid w:val="00250A3F"/>
    <w:rsid w:val="0025131C"/>
    <w:rsid w:val="00251448"/>
    <w:rsid w:val="00251608"/>
    <w:rsid w:val="00252670"/>
    <w:rsid w:val="002526E7"/>
    <w:rsid w:val="00253B89"/>
    <w:rsid w:val="00253E2F"/>
    <w:rsid w:val="002544D3"/>
    <w:rsid w:val="00254FB4"/>
    <w:rsid w:val="00255521"/>
    <w:rsid w:val="00255A1B"/>
    <w:rsid w:val="00255FCE"/>
    <w:rsid w:val="00256215"/>
    <w:rsid w:val="002564B0"/>
    <w:rsid w:val="00256B87"/>
    <w:rsid w:val="00257058"/>
    <w:rsid w:val="0025755E"/>
    <w:rsid w:val="0025768E"/>
    <w:rsid w:val="00257C5C"/>
    <w:rsid w:val="00257F3B"/>
    <w:rsid w:val="00257F65"/>
    <w:rsid w:val="00257F9E"/>
    <w:rsid w:val="002600B8"/>
    <w:rsid w:val="00260396"/>
    <w:rsid w:val="002609B6"/>
    <w:rsid w:val="0026175E"/>
    <w:rsid w:val="00262694"/>
    <w:rsid w:val="00262AD7"/>
    <w:rsid w:val="00262C5C"/>
    <w:rsid w:val="002647B2"/>
    <w:rsid w:val="002648DE"/>
    <w:rsid w:val="00264FA1"/>
    <w:rsid w:val="00265599"/>
    <w:rsid w:val="00265C1A"/>
    <w:rsid w:val="00266627"/>
    <w:rsid w:val="00266B64"/>
    <w:rsid w:val="002670DC"/>
    <w:rsid w:val="00270252"/>
    <w:rsid w:val="00271B6F"/>
    <w:rsid w:val="00271C37"/>
    <w:rsid w:val="002722E4"/>
    <w:rsid w:val="002728EF"/>
    <w:rsid w:val="002734A0"/>
    <w:rsid w:val="0027359A"/>
    <w:rsid w:val="00273625"/>
    <w:rsid w:val="00273961"/>
    <w:rsid w:val="00273A2D"/>
    <w:rsid w:val="00273A57"/>
    <w:rsid w:val="00273AB7"/>
    <w:rsid w:val="00274323"/>
    <w:rsid w:val="0027432A"/>
    <w:rsid w:val="002748DA"/>
    <w:rsid w:val="002751EE"/>
    <w:rsid w:val="0027549A"/>
    <w:rsid w:val="0027573B"/>
    <w:rsid w:val="0027579B"/>
    <w:rsid w:val="002759B2"/>
    <w:rsid w:val="00277363"/>
    <w:rsid w:val="00281635"/>
    <w:rsid w:val="00281ED1"/>
    <w:rsid w:val="002822DF"/>
    <w:rsid w:val="00282E7F"/>
    <w:rsid w:val="00283518"/>
    <w:rsid w:val="002837F3"/>
    <w:rsid w:val="002838CD"/>
    <w:rsid w:val="00283A09"/>
    <w:rsid w:val="00283D17"/>
    <w:rsid w:val="0028460C"/>
    <w:rsid w:val="002847EF"/>
    <w:rsid w:val="00285245"/>
    <w:rsid w:val="00285D9C"/>
    <w:rsid w:val="00285E6A"/>
    <w:rsid w:val="00286618"/>
    <w:rsid w:val="00286D5E"/>
    <w:rsid w:val="0029075B"/>
    <w:rsid w:val="00290C16"/>
    <w:rsid w:val="00290FCB"/>
    <w:rsid w:val="00291192"/>
    <w:rsid w:val="002924CA"/>
    <w:rsid w:val="0029273A"/>
    <w:rsid w:val="00292B84"/>
    <w:rsid w:val="00292C45"/>
    <w:rsid w:val="00292E77"/>
    <w:rsid w:val="00293512"/>
    <w:rsid w:val="00293786"/>
    <w:rsid w:val="002941AC"/>
    <w:rsid w:val="0029470D"/>
    <w:rsid w:val="00294A78"/>
    <w:rsid w:val="00294BEE"/>
    <w:rsid w:val="00295668"/>
    <w:rsid w:val="00295BC0"/>
    <w:rsid w:val="00295CA9"/>
    <w:rsid w:val="002965FE"/>
    <w:rsid w:val="00296FBB"/>
    <w:rsid w:val="002970B0"/>
    <w:rsid w:val="00297EE4"/>
    <w:rsid w:val="002A0251"/>
    <w:rsid w:val="002A0436"/>
    <w:rsid w:val="002A08AB"/>
    <w:rsid w:val="002A0C25"/>
    <w:rsid w:val="002A0CD0"/>
    <w:rsid w:val="002A0E25"/>
    <w:rsid w:val="002A15B6"/>
    <w:rsid w:val="002A1E21"/>
    <w:rsid w:val="002A20FC"/>
    <w:rsid w:val="002A2421"/>
    <w:rsid w:val="002A25C1"/>
    <w:rsid w:val="002A2851"/>
    <w:rsid w:val="002A28E6"/>
    <w:rsid w:val="002A3C63"/>
    <w:rsid w:val="002A3F93"/>
    <w:rsid w:val="002A40FC"/>
    <w:rsid w:val="002A434C"/>
    <w:rsid w:val="002A4AA3"/>
    <w:rsid w:val="002A4E0E"/>
    <w:rsid w:val="002A5682"/>
    <w:rsid w:val="002A5ECE"/>
    <w:rsid w:val="002A5F6B"/>
    <w:rsid w:val="002A60BC"/>
    <w:rsid w:val="002A6102"/>
    <w:rsid w:val="002A6578"/>
    <w:rsid w:val="002A72E6"/>
    <w:rsid w:val="002A73BB"/>
    <w:rsid w:val="002A7D1E"/>
    <w:rsid w:val="002B0149"/>
    <w:rsid w:val="002B09BE"/>
    <w:rsid w:val="002B0D61"/>
    <w:rsid w:val="002B1F50"/>
    <w:rsid w:val="002B2A84"/>
    <w:rsid w:val="002B2F02"/>
    <w:rsid w:val="002B305E"/>
    <w:rsid w:val="002B3B62"/>
    <w:rsid w:val="002B4121"/>
    <w:rsid w:val="002B479C"/>
    <w:rsid w:val="002B4976"/>
    <w:rsid w:val="002B4D93"/>
    <w:rsid w:val="002B5053"/>
    <w:rsid w:val="002B61A1"/>
    <w:rsid w:val="002B64B8"/>
    <w:rsid w:val="002B66B5"/>
    <w:rsid w:val="002B66E0"/>
    <w:rsid w:val="002B73C3"/>
    <w:rsid w:val="002B74A4"/>
    <w:rsid w:val="002C0017"/>
    <w:rsid w:val="002C0280"/>
    <w:rsid w:val="002C0799"/>
    <w:rsid w:val="002C1251"/>
    <w:rsid w:val="002C178F"/>
    <w:rsid w:val="002C2C68"/>
    <w:rsid w:val="002C3809"/>
    <w:rsid w:val="002C3A8D"/>
    <w:rsid w:val="002C3DF3"/>
    <w:rsid w:val="002C4956"/>
    <w:rsid w:val="002C4EA5"/>
    <w:rsid w:val="002C4FF4"/>
    <w:rsid w:val="002C5471"/>
    <w:rsid w:val="002C5485"/>
    <w:rsid w:val="002C69BE"/>
    <w:rsid w:val="002C7186"/>
    <w:rsid w:val="002C731B"/>
    <w:rsid w:val="002C7F8C"/>
    <w:rsid w:val="002D02E8"/>
    <w:rsid w:val="002D0399"/>
    <w:rsid w:val="002D19F0"/>
    <w:rsid w:val="002D1EC8"/>
    <w:rsid w:val="002D2BAC"/>
    <w:rsid w:val="002D4470"/>
    <w:rsid w:val="002D466B"/>
    <w:rsid w:val="002D4BAC"/>
    <w:rsid w:val="002D4FA7"/>
    <w:rsid w:val="002D6427"/>
    <w:rsid w:val="002D67F9"/>
    <w:rsid w:val="002D6D08"/>
    <w:rsid w:val="002D754D"/>
    <w:rsid w:val="002D75C4"/>
    <w:rsid w:val="002D7A1E"/>
    <w:rsid w:val="002E0185"/>
    <w:rsid w:val="002E023C"/>
    <w:rsid w:val="002E0640"/>
    <w:rsid w:val="002E0B84"/>
    <w:rsid w:val="002E0E00"/>
    <w:rsid w:val="002E0EA2"/>
    <w:rsid w:val="002E113C"/>
    <w:rsid w:val="002E135D"/>
    <w:rsid w:val="002E1464"/>
    <w:rsid w:val="002E2087"/>
    <w:rsid w:val="002E2111"/>
    <w:rsid w:val="002E30CA"/>
    <w:rsid w:val="002E3130"/>
    <w:rsid w:val="002E3179"/>
    <w:rsid w:val="002E37EA"/>
    <w:rsid w:val="002E5587"/>
    <w:rsid w:val="002E64A1"/>
    <w:rsid w:val="002E6FE3"/>
    <w:rsid w:val="002E7D01"/>
    <w:rsid w:val="002F091C"/>
    <w:rsid w:val="002F11DE"/>
    <w:rsid w:val="002F172A"/>
    <w:rsid w:val="002F28C2"/>
    <w:rsid w:val="002F316E"/>
    <w:rsid w:val="002F33F5"/>
    <w:rsid w:val="002F35AA"/>
    <w:rsid w:val="002F373B"/>
    <w:rsid w:val="002F3B60"/>
    <w:rsid w:val="002F40A8"/>
    <w:rsid w:val="002F40F9"/>
    <w:rsid w:val="002F43FC"/>
    <w:rsid w:val="002F4466"/>
    <w:rsid w:val="002F49C7"/>
    <w:rsid w:val="002F59A6"/>
    <w:rsid w:val="002F5B4D"/>
    <w:rsid w:val="002F5C39"/>
    <w:rsid w:val="002F6047"/>
    <w:rsid w:val="002F60E8"/>
    <w:rsid w:val="002F61B9"/>
    <w:rsid w:val="002F6430"/>
    <w:rsid w:val="002F691C"/>
    <w:rsid w:val="002F6B1E"/>
    <w:rsid w:val="002F7B35"/>
    <w:rsid w:val="002F7C2B"/>
    <w:rsid w:val="002F7C84"/>
    <w:rsid w:val="00300646"/>
    <w:rsid w:val="00300754"/>
    <w:rsid w:val="00300787"/>
    <w:rsid w:val="00300878"/>
    <w:rsid w:val="003008D0"/>
    <w:rsid w:val="003008E4"/>
    <w:rsid w:val="00300BD2"/>
    <w:rsid w:val="00301836"/>
    <w:rsid w:val="00302196"/>
    <w:rsid w:val="0030291C"/>
    <w:rsid w:val="00302A6E"/>
    <w:rsid w:val="00302D36"/>
    <w:rsid w:val="003032A7"/>
    <w:rsid w:val="00303801"/>
    <w:rsid w:val="003048B6"/>
    <w:rsid w:val="00304B52"/>
    <w:rsid w:val="00305817"/>
    <w:rsid w:val="00305AC9"/>
    <w:rsid w:val="00305FAF"/>
    <w:rsid w:val="003063BB"/>
    <w:rsid w:val="003066A6"/>
    <w:rsid w:val="00306E68"/>
    <w:rsid w:val="003077C7"/>
    <w:rsid w:val="00310A4D"/>
    <w:rsid w:val="0031112A"/>
    <w:rsid w:val="003120F7"/>
    <w:rsid w:val="003125E0"/>
    <w:rsid w:val="00312CB9"/>
    <w:rsid w:val="00312D50"/>
    <w:rsid w:val="003136E8"/>
    <w:rsid w:val="00313D00"/>
    <w:rsid w:val="0031437E"/>
    <w:rsid w:val="003144DB"/>
    <w:rsid w:val="00314BC3"/>
    <w:rsid w:val="00315503"/>
    <w:rsid w:val="00316295"/>
    <w:rsid w:val="00316DA3"/>
    <w:rsid w:val="00317631"/>
    <w:rsid w:val="00317E73"/>
    <w:rsid w:val="00321FEE"/>
    <w:rsid w:val="0032207B"/>
    <w:rsid w:val="003223C8"/>
    <w:rsid w:val="00323390"/>
    <w:rsid w:val="00323EA5"/>
    <w:rsid w:val="003249D8"/>
    <w:rsid w:val="00324DAD"/>
    <w:rsid w:val="003250BE"/>
    <w:rsid w:val="003251E5"/>
    <w:rsid w:val="0032528E"/>
    <w:rsid w:val="003254E0"/>
    <w:rsid w:val="00325B1E"/>
    <w:rsid w:val="00325DCE"/>
    <w:rsid w:val="003260B7"/>
    <w:rsid w:val="003261FB"/>
    <w:rsid w:val="00326D1F"/>
    <w:rsid w:val="00327C1C"/>
    <w:rsid w:val="00327D2C"/>
    <w:rsid w:val="0033009C"/>
    <w:rsid w:val="003300DA"/>
    <w:rsid w:val="0033035C"/>
    <w:rsid w:val="00330795"/>
    <w:rsid w:val="00330879"/>
    <w:rsid w:val="00331118"/>
    <w:rsid w:val="003316F1"/>
    <w:rsid w:val="003318F8"/>
    <w:rsid w:val="00331C3C"/>
    <w:rsid w:val="003325BF"/>
    <w:rsid w:val="003325FE"/>
    <w:rsid w:val="00332A27"/>
    <w:rsid w:val="00332AFF"/>
    <w:rsid w:val="00332CE6"/>
    <w:rsid w:val="003331B5"/>
    <w:rsid w:val="003331F4"/>
    <w:rsid w:val="003333AF"/>
    <w:rsid w:val="003339B9"/>
    <w:rsid w:val="00334C2D"/>
    <w:rsid w:val="003352B1"/>
    <w:rsid w:val="00335427"/>
    <w:rsid w:val="00335D1D"/>
    <w:rsid w:val="003363B6"/>
    <w:rsid w:val="00336CAF"/>
    <w:rsid w:val="00336FC5"/>
    <w:rsid w:val="00337C27"/>
    <w:rsid w:val="0034024C"/>
    <w:rsid w:val="003405EF"/>
    <w:rsid w:val="00340667"/>
    <w:rsid w:val="003410A3"/>
    <w:rsid w:val="0034110C"/>
    <w:rsid w:val="00341A2E"/>
    <w:rsid w:val="00342D9A"/>
    <w:rsid w:val="003432F6"/>
    <w:rsid w:val="00343776"/>
    <w:rsid w:val="0034379C"/>
    <w:rsid w:val="0034409B"/>
    <w:rsid w:val="0034446A"/>
    <w:rsid w:val="00344516"/>
    <w:rsid w:val="003446E2"/>
    <w:rsid w:val="00344742"/>
    <w:rsid w:val="00344A73"/>
    <w:rsid w:val="00344BC8"/>
    <w:rsid w:val="00345028"/>
    <w:rsid w:val="00345773"/>
    <w:rsid w:val="0034593D"/>
    <w:rsid w:val="00345CA7"/>
    <w:rsid w:val="00346355"/>
    <w:rsid w:val="0034683C"/>
    <w:rsid w:val="00346B45"/>
    <w:rsid w:val="00346D59"/>
    <w:rsid w:val="00347431"/>
    <w:rsid w:val="00347689"/>
    <w:rsid w:val="003477E5"/>
    <w:rsid w:val="00347AEC"/>
    <w:rsid w:val="00350251"/>
    <w:rsid w:val="00350958"/>
    <w:rsid w:val="00350D79"/>
    <w:rsid w:val="00351005"/>
    <w:rsid w:val="00351922"/>
    <w:rsid w:val="00351C40"/>
    <w:rsid w:val="00351CD3"/>
    <w:rsid w:val="00351D94"/>
    <w:rsid w:val="00351E40"/>
    <w:rsid w:val="00351FB2"/>
    <w:rsid w:val="00352900"/>
    <w:rsid w:val="00352D1F"/>
    <w:rsid w:val="003531A0"/>
    <w:rsid w:val="0035354E"/>
    <w:rsid w:val="00354033"/>
    <w:rsid w:val="0035428E"/>
    <w:rsid w:val="003552C6"/>
    <w:rsid w:val="00355674"/>
    <w:rsid w:val="00355F79"/>
    <w:rsid w:val="00357534"/>
    <w:rsid w:val="00357AB7"/>
    <w:rsid w:val="00357D9A"/>
    <w:rsid w:val="00357FE8"/>
    <w:rsid w:val="003601C1"/>
    <w:rsid w:val="003605AB"/>
    <w:rsid w:val="00360AEC"/>
    <w:rsid w:val="00360D51"/>
    <w:rsid w:val="00360DB4"/>
    <w:rsid w:val="00360F60"/>
    <w:rsid w:val="00361BCD"/>
    <w:rsid w:val="00361D60"/>
    <w:rsid w:val="00361D9D"/>
    <w:rsid w:val="00362FB9"/>
    <w:rsid w:val="0036354A"/>
    <w:rsid w:val="0036358B"/>
    <w:rsid w:val="00363B70"/>
    <w:rsid w:val="00363C7F"/>
    <w:rsid w:val="003645C1"/>
    <w:rsid w:val="00364D52"/>
    <w:rsid w:val="00364EB2"/>
    <w:rsid w:val="00364F68"/>
    <w:rsid w:val="00364F75"/>
    <w:rsid w:val="0036507C"/>
    <w:rsid w:val="003652F0"/>
    <w:rsid w:val="0036537B"/>
    <w:rsid w:val="00365C54"/>
    <w:rsid w:val="00365FDD"/>
    <w:rsid w:val="003662D1"/>
    <w:rsid w:val="00366A61"/>
    <w:rsid w:val="00366AB5"/>
    <w:rsid w:val="00366D43"/>
    <w:rsid w:val="00370198"/>
    <w:rsid w:val="00370305"/>
    <w:rsid w:val="003708D0"/>
    <w:rsid w:val="00370B33"/>
    <w:rsid w:val="00371C90"/>
    <w:rsid w:val="00371E4F"/>
    <w:rsid w:val="00372DAA"/>
    <w:rsid w:val="0037364A"/>
    <w:rsid w:val="003738F0"/>
    <w:rsid w:val="00373A5E"/>
    <w:rsid w:val="00373D5C"/>
    <w:rsid w:val="003759A1"/>
    <w:rsid w:val="00376821"/>
    <w:rsid w:val="00377036"/>
    <w:rsid w:val="003772F3"/>
    <w:rsid w:val="0037747F"/>
    <w:rsid w:val="00380480"/>
    <w:rsid w:val="00380CB9"/>
    <w:rsid w:val="00381817"/>
    <w:rsid w:val="0038240F"/>
    <w:rsid w:val="00382572"/>
    <w:rsid w:val="003826CB"/>
    <w:rsid w:val="00382B1E"/>
    <w:rsid w:val="00383349"/>
    <w:rsid w:val="003848A7"/>
    <w:rsid w:val="00384CA9"/>
    <w:rsid w:val="00385ED2"/>
    <w:rsid w:val="00385FF1"/>
    <w:rsid w:val="00386D15"/>
    <w:rsid w:val="00386EA3"/>
    <w:rsid w:val="00386F5D"/>
    <w:rsid w:val="003873EA"/>
    <w:rsid w:val="003875D3"/>
    <w:rsid w:val="0038778C"/>
    <w:rsid w:val="00387A85"/>
    <w:rsid w:val="00387C4C"/>
    <w:rsid w:val="00390AE3"/>
    <w:rsid w:val="00390DA4"/>
    <w:rsid w:val="00391385"/>
    <w:rsid w:val="0039230D"/>
    <w:rsid w:val="003929CA"/>
    <w:rsid w:val="00392A08"/>
    <w:rsid w:val="00392E5F"/>
    <w:rsid w:val="00393086"/>
    <w:rsid w:val="0039388F"/>
    <w:rsid w:val="00393DE0"/>
    <w:rsid w:val="00393E7F"/>
    <w:rsid w:val="00394081"/>
    <w:rsid w:val="00394E09"/>
    <w:rsid w:val="003955EE"/>
    <w:rsid w:val="00395690"/>
    <w:rsid w:val="003959DC"/>
    <w:rsid w:val="00395B40"/>
    <w:rsid w:val="00395F58"/>
    <w:rsid w:val="00396287"/>
    <w:rsid w:val="00396B2D"/>
    <w:rsid w:val="00397015"/>
    <w:rsid w:val="00397178"/>
    <w:rsid w:val="003976C8"/>
    <w:rsid w:val="00397AF4"/>
    <w:rsid w:val="00397F6B"/>
    <w:rsid w:val="003A0F26"/>
    <w:rsid w:val="003A10FF"/>
    <w:rsid w:val="003A119B"/>
    <w:rsid w:val="003A2894"/>
    <w:rsid w:val="003A2C0A"/>
    <w:rsid w:val="003A3130"/>
    <w:rsid w:val="003A317E"/>
    <w:rsid w:val="003A361D"/>
    <w:rsid w:val="003A395E"/>
    <w:rsid w:val="003A3C23"/>
    <w:rsid w:val="003A3F1A"/>
    <w:rsid w:val="003A4323"/>
    <w:rsid w:val="003A4798"/>
    <w:rsid w:val="003A47BB"/>
    <w:rsid w:val="003A49AA"/>
    <w:rsid w:val="003A59CB"/>
    <w:rsid w:val="003A5A37"/>
    <w:rsid w:val="003A6F48"/>
    <w:rsid w:val="003A7022"/>
    <w:rsid w:val="003A787A"/>
    <w:rsid w:val="003A799D"/>
    <w:rsid w:val="003B014B"/>
    <w:rsid w:val="003B0688"/>
    <w:rsid w:val="003B085C"/>
    <w:rsid w:val="003B1173"/>
    <w:rsid w:val="003B13ED"/>
    <w:rsid w:val="003B1E5D"/>
    <w:rsid w:val="003B1E6E"/>
    <w:rsid w:val="003B2241"/>
    <w:rsid w:val="003B2793"/>
    <w:rsid w:val="003B294D"/>
    <w:rsid w:val="003B3929"/>
    <w:rsid w:val="003B3B9F"/>
    <w:rsid w:val="003B3CAF"/>
    <w:rsid w:val="003B3D8B"/>
    <w:rsid w:val="003B3E94"/>
    <w:rsid w:val="003B3EA3"/>
    <w:rsid w:val="003B421B"/>
    <w:rsid w:val="003B472B"/>
    <w:rsid w:val="003B4FF2"/>
    <w:rsid w:val="003B54D8"/>
    <w:rsid w:val="003B5C14"/>
    <w:rsid w:val="003B6AFB"/>
    <w:rsid w:val="003B6BD3"/>
    <w:rsid w:val="003B6C8F"/>
    <w:rsid w:val="003B70CA"/>
    <w:rsid w:val="003B759C"/>
    <w:rsid w:val="003B7B95"/>
    <w:rsid w:val="003C0D7C"/>
    <w:rsid w:val="003C0F5F"/>
    <w:rsid w:val="003C152F"/>
    <w:rsid w:val="003C156E"/>
    <w:rsid w:val="003C181F"/>
    <w:rsid w:val="003C276F"/>
    <w:rsid w:val="003C27E5"/>
    <w:rsid w:val="003C2956"/>
    <w:rsid w:val="003C2A6D"/>
    <w:rsid w:val="003C2E02"/>
    <w:rsid w:val="003C2E23"/>
    <w:rsid w:val="003C3468"/>
    <w:rsid w:val="003C3B10"/>
    <w:rsid w:val="003C3F7F"/>
    <w:rsid w:val="003C44E1"/>
    <w:rsid w:val="003C4540"/>
    <w:rsid w:val="003C5120"/>
    <w:rsid w:val="003C5333"/>
    <w:rsid w:val="003C54DE"/>
    <w:rsid w:val="003C56B0"/>
    <w:rsid w:val="003C5ED3"/>
    <w:rsid w:val="003C6D45"/>
    <w:rsid w:val="003C730F"/>
    <w:rsid w:val="003C7BCD"/>
    <w:rsid w:val="003C7D0B"/>
    <w:rsid w:val="003D01EA"/>
    <w:rsid w:val="003D08E2"/>
    <w:rsid w:val="003D0949"/>
    <w:rsid w:val="003D0A89"/>
    <w:rsid w:val="003D1317"/>
    <w:rsid w:val="003D1E2B"/>
    <w:rsid w:val="003D2B08"/>
    <w:rsid w:val="003D2C0C"/>
    <w:rsid w:val="003D34A6"/>
    <w:rsid w:val="003D3DFA"/>
    <w:rsid w:val="003D4279"/>
    <w:rsid w:val="003D470C"/>
    <w:rsid w:val="003D5C67"/>
    <w:rsid w:val="003D6348"/>
    <w:rsid w:val="003D70F6"/>
    <w:rsid w:val="003D7432"/>
    <w:rsid w:val="003D78A8"/>
    <w:rsid w:val="003E04AA"/>
    <w:rsid w:val="003E1362"/>
    <w:rsid w:val="003E13E4"/>
    <w:rsid w:val="003E1C72"/>
    <w:rsid w:val="003E1C7C"/>
    <w:rsid w:val="003E327D"/>
    <w:rsid w:val="003E33D3"/>
    <w:rsid w:val="003E3710"/>
    <w:rsid w:val="003E3749"/>
    <w:rsid w:val="003E401A"/>
    <w:rsid w:val="003E4449"/>
    <w:rsid w:val="003E4C07"/>
    <w:rsid w:val="003E51C5"/>
    <w:rsid w:val="003E6810"/>
    <w:rsid w:val="003E6956"/>
    <w:rsid w:val="003E6FCC"/>
    <w:rsid w:val="003E739E"/>
    <w:rsid w:val="003E7594"/>
    <w:rsid w:val="003E7787"/>
    <w:rsid w:val="003E7814"/>
    <w:rsid w:val="003E78B0"/>
    <w:rsid w:val="003F03E0"/>
    <w:rsid w:val="003F0B72"/>
    <w:rsid w:val="003F1144"/>
    <w:rsid w:val="003F14D7"/>
    <w:rsid w:val="003F1659"/>
    <w:rsid w:val="003F1E6F"/>
    <w:rsid w:val="003F22D0"/>
    <w:rsid w:val="003F2A7C"/>
    <w:rsid w:val="003F32C2"/>
    <w:rsid w:val="003F333A"/>
    <w:rsid w:val="003F33F8"/>
    <w:rsid w:val="003F38D3"/>
    <w:rsid w:val="003F3B4B"/>
    <w:rsid w:val="003F4227"/>
    <w:rsid w:val="003F42F0"/>
    <w:rsid w:val="003F4742"/>
    <w:rsid w:val="003F48B5"/>
    <w:rsid w:val="003F4D2E"/>
    <w:rsid w:val="003F5A3F"/>
    <w:rsid w:val="003F65AC"/>
    <w:rsid w:val="003F661C"/>
    <w:rsid w:val="003F67A2"/>
    <w:rsid w:val="003F73D4"/>
    <w:rsid w:val="003F75E6"/>
    <w:rsid w:val="003F7DA6"/>
    <w:rsid w:val="004000BB"/>
    <w:rsid w:val="004015A8"/>
    <w:rsid w:val="004017D6"/>
    <w:rsid w:val="004022EE"/>
    <w:rsid w:val="00402C12"/>
    <w:rsid w:val="004030D7"/>
    <w:rsid w:val="00403AE0"/>
    <w:rsid w:val="00403E3F"/>
    <w:rsid w:val="00403EB4"/>
    <w:rsid w:val="004041FB"/>
    <w:rsid w:val="00404A55"/>
    <w:rsid w:val="004053C3"/>
    <w:rsid w:val="004069C6"/>
    <w:rsid w:val="00406D39"/>
    <w:rsid w:val="004072A1"/>
    <w:rsid w:val="004072EC"/>
    <w:rsid w:val="004073C9"/>
    <w:rsid w:val="00407B62"/>
    <w:rsid w:val="0041039E"/>
    <w:rsid w:val="00410CFD"/>
    <w:rsid w:val="00410F01"/>
    <w:rsid w:val="00410FEE"/>
    <w:rsid w:val="00411441"/>
    <w:rsid w:val="004116CA"/>
    <w:rsid w:val="004118A2"/>
    <w:rsid w:val="00411C83"/>
    <w:rsid w:val="00412D22"/>
    <w:rsid w:val="00413639"/>
    <w:rsid w:val="00413815"/>
    <w:rsid w:val="0041383B"/>
    <w:rsid w:val="00413913"/>
    <w:rsid w:val="00413973"/>
    <w:rsid w:val="00413B64"/>
    <w:rsid w:val="00413F78"/>
    <w:rsid w:val="00414A12"/>
    <w:rsid w:val="00414AD6"/>
    <w:rsid w:val="004150B0"/>
    <w:rsid w:val="004150E3"/>
    <w:rsid w:val="004156C2"/>
    <w:rsid w:val="004158CE"/>
    <w:rsid w:val="00415C67"/>
    <w:rsid w:val="0041610F"/>
    <w:rsid w:val="00416506"/>
    <w:rsid w:val="0041741E"/>
    <w:rsid w:val="0041760D"/>
    <w:rsid w:val="00417B91"/>
    <w:rsid w:val="004204CD"/>
    <w:rsid w:val="00420510"/>
    <w:rsid w:val="00421798"/>
    <w:rsid w:val="00421B3A"/>
    <w:rsid w:val="00421B4E"/>
    <w:rsid w:val="00421D31"/>
    <w:rsid w:val="00421E69"/>
    <w:rsid w:val="00422C11"/>
    <w:rsid w:val="00422FAF"/>
    <w:rsid w:val="004231A2"/>
    <w:rsid w:val="004252BA"/>
    <w:rsid w:val="00425949"/>
    <w:rsid w:val="0042689A"/>
    <w:rsid w:val="00426BC4"/>
    <w:rsid w:val="00426E19"/>
    <w:rsid w:val="00426E4C"/>
    <w:rsid w:val="00430156"/>
    <w:rsid w:val="0043021A"/>
    <w:rsid w:val="00430496"/>
    <w:rsid w:val="00430A7C"/>
    <w:rsid w:val="00430F4F"/>
    <w:rsid w:val="004314DB"/>
    <w:rsid w:val="00431CC6"/>
    <w:rsid w:val="00432241"/>
    <w:rsid w:val="004325D5"/>
    <w:rsid w:val="00433386"/>
    <w:rsid w:val="00433926"/>
    <w:rsid w:val="00433CA9"/>
    <w:rsid w:val="0043442D"/>
    <w:rsid w:val="004344C4"/>
    <w:rsid w:val="004348F8"/>
    <w:rsid w:val="00434A01"/>
    <w:rsid w:val="00434DB5"/>
    <w:rsid w:val="0043516A"/>
    <w:rsid w:val="004351CD"/>
    <w:rsid w:val="00435CA2"/>
    <w:rsid w:val="00435E5B"/>
    <w:rsid w:val="0043640C"/>
    <w:rsid w:val="00437744"/>
    <w:rsid w:val="00437AC6"/>
    <w:rsid w:val="00437DF4"/>
    <w:rsid w:val="004401C6"/>
    <w:rsid w:val="004401D1"/>
    <w:rsid w:val="004404EB"/>
    <w:rsid w:val="0044059D"/>
    <w:rsid w:val="004414AA"/>
    <w:rsid w:val="004427D4"/>
    <w:rsid w:val="004428B8"/>
    <w:rsid w:val="00442A28"/>
    <w:rsid w:val="00442BE2"/>
    <w:rsid w:val="004437B8"/>
    <w:rsid w:val="00443C09"/>
    <w:rsid w:val="00443F2C"/>
    <w:rsid w:val="004445FB"/>
    <w:rsid w:val="00444E7F"/>
    <w:rsid w:val="00445184"/>
    <w:rsid w:val="0044524F"/>
    <w:rsid w:val="0044560A"/>
    <w:rsid w:val="0044572E"/>
    <w:rsid w:val="00446040"/>
    <w:rsid w:val="0044632A"/>
    <w:rsid w:val="00446487"/>
    <w:rsid w:val="00446C1C"/>
    <w:rsid w:val="00447434"/>
    <w:rsid w:val="0044753D"/>
    <w:rsid w:val="004477DA"/>
    <w:rsid w:val="00447908"/>
    <w:rsid w:val="00447ACE"/>
    <w:rsid w:val="00450859"/>
    <w:rsid w:val="00450CFC"/>
    <w:rsid w:val="00450D37"/>
    <w:rsid w:val="004511E7"/>
    <w:rsid w:val="004512D7"/>
    <w:rsid w:val="0045185C"/>
    <w:rsid w:val="00451873"/>
    <w:rsid w:val="00452210"/>
    <w:rsid w:val="004523CF"/>
    <w:rsid w:val="00452883"/>
    <w:rsid w:val="00452B70"/>
    <w:rsid w:val="00453344"/>
    <w:rsid w:val="0045347A"/>
    <w:rsid w:val="00453D85"/>
    <w:rsid w:val="00454223"/>
    <w:rsid w:val="00454254"/>
    <w:rsid w:val="004542C2"/>
    <w:rsid w:val="00454986"/>
    <w:rsid w:val="004552CC"/>
    <w:rsid w:val="00455EA7"/>
    <w:rsid w:val="00455F72"/>
    <w:rsid w:val="00456BC6"/>
    <w:rsid w:val="00456E79"/>
    <w:rsid w:val="00457831"/>
    <w:rsid w:val="00457953"/>
    <w:rsid w:val="00457EAB"/>
    <w:rsid w:val="00460312"/>
    <w:rsid w:val="00460A69"/>
    <w:rsid w:val="00460CB1"/>
    <w:rsid w:val="00462199"/>
    <w:rsid w:val="00462521"/>
    <w:rsid w:val="00462729"/>
    <w:rsid w:val="00462B69"/>
    <w:rsid w:val="00462FAA"/>
    <w:rsid w:val="00463907"/>
    <w:rsid w:val="00463BA1"/>
    <w:rsid w:val="004641C0"/>
    <w:rsid w:val="0046424E"/>
    <w:rsid w:val="0046452E"/>
    <w:rsid w:val="00464E4F"/>
    <w:rsid w:val="00464F3B"/>
    <w:rsid w:val="004665EE"/>
    <w:rsid w:val="00466F47"/>
    <w:rsid w:val="00467DB6"/>
    <w:rsid w:val="00467FE9"/>
    <w:rsid w:val="00471026"/>
    <w:rsid w:val="00471208"/>
    <w:rsid w:val="00472580"/>
    <w:rsid w:val="004725EC"/>
    <w:rsid w:val="004727DF"/>
    <w:rsid w:val="00472F5D"/>
    <w:rsid w:val="0047306C"/>
    <w:rsid w:val="00473BDB"/>
    <w:rsid w:val="00473D24"/>
    <w:rsid w:val="0047408B"/>
    <w:rsid w:val="004742FC"/>
    <w:rsid w:val="004743F7"/>
    <w:rsid w:val="00474B43"/>
    <w:rsid w:val="00474BF2"/>
    <w:rsid w:val="00475B91"/>
    <w:rsid w:val="00475F6E"/>
    <w:rsid w:val="00476618"/>
    <w:rsid w:val="004767F6"/>
    <w:rsid w:val="00477135"/>
    <w:rsid w:val="004775EC"/>
    <w:rsid w:val="0047774D"/>
    <w:rsid w:val="0047794F"/>
    <w:rsid w:val="00477D23"/>
    <w:rsid w:val="004805A1"/>
    <w:rsid w:val="0048065A"/>
    <w:rsid w:val="0048091B"/>
    <w:rsid w:val="00480B5F"/>
    <w:rsid w:val="0048130D"/>
    <w:rsid w:val="00481423"/>
    <w:rsid w:val="00481694"/>
    <w:rsid w:val="004817DB"/>
    <w:rsid w:val="0048252F"/>
    <w:rsid w:val="00482BC4"/>
    <w:rsid w:val="004844FF"/>
    <w:rsid w:val="00485542"/>
    <w:rsid w:val="004857BD"/>
    <w:rsid w:val="004859F3"/>
    <w:rsid w:val="00485AB8"/>
    <w:rsid w:val="004868CA"/>
    <w:rsid w:val="00487030"/>
    <w:rsid w:val="00487A07"/>
    <w:rsid w:val="0049032E"/>
    <w:rsid w:val="00490AB3"/>
    <w:rsid w:val="00490B43"/>
    <w:rsid w:val="0049174B"/>
    <w:rsid w:val="00491BCC"/>
    <w:rsid w:val="0049216D"/>
    <w:rsid w:val="004928C1"/>
    <w:rsid w:val="00492DD3"/>
    <w:rsid w:val="00493BFD"/>
    <w:rsid w:val="00493D35"/>
    <w:rsid w:val="00493D96"/>
    <w:rsid w:val="00493E33"/>
    <w:rsid w:val="0049486D"/>
    <w:rsid w:val="00494A7B"/>
    <w:rsid w:val="00495318"/>
    <w:rsid w:val="004955BE"/>
    <w:rsid w:val="00495AB6"/>
    <w:rsid w:val="00495D6B"/>
    <w:rsid w:val="0049611B"/>
    <w:rsid w:val="00496231"/>
    <w:rsid w:val="00496289"/>
    <w:rsid w:val="004965F8"/>
    <w:rsid w:val="004971FF"/>
    <w:rsid w:val="00497C15"/>
    <w:rsid w:val="00497F84"/>
    <w:rsid w:val="004A0744"/>
    <w:rsid w:val="004A0B54"/>
    <w:rsid w:val="004A112A"/>
    <w:rsid w:val="004A14FC"/>
    <w:rsid w:val="004A1669"/>
    <w:rsid w:val="004A1CA8"/>
    <w:rsid w:val="004A3B14"/>
    <w:rsid w:val="004A3C04"/>
    <w:rsid w:val="004A4259"/>
    <w:rsid w:val="004A5665"/>
    <w:rsid w:val="004A579B"/>
    <w:rsid w:val="004A5A35"/>
    <w:rsid w:val="004A5AA1"/>
    <w:rsid w:val="004A5C03"/>
    <w:rsid w:val="004A67A1"/>
    <w:rsid w:val="004A6FD6"/>
    <w:rsid w:val="004A783B"/>
    <w:rsid w:val="004A78B0"/>
    <w:rsid w:val="004A7BD9"/>
    <w:rsid w:val="004A7C78"/>
    <w:rsid w:val="004A7E32"/>
    <w:rsid w:val="004B0D80"/>
    <w:rsid w:val="004B16F1"/>
    <w:rsid w:val="004B1EB2"/>
    <w:rsid w:val="004B1F96"/>
    <w:rsid w:val="004B2060"/>
    <w:rsid w:val="004B2189"/>
    <w:rsid w:val="004B21E1"/>
    <w:rsid w:val="004B21F2"/>
    <w:rsid w:val="004B28FE"/>
    <w:rsid w:val="004B2FF1"/>
    <w:rsid w:val="004B300B"/>
    <w:rsid w:val="004B3547"/>
    <w:rsid w:val="004B38B2"/>
    <w:rsid w:val="004B3DE3"/>
    <w:rsid w:val="004B3E75"/>
    <w:rsid w:val="004B5294"/>
    <w:rsid w:val="004B537F"/>
    <w:rsid w:val="004B5F09"/>
    <w:rsid w:val="004B6697"/>
    <w:rsid w:val="004B723F"/>
    <w:rsid w:val="004B7393"/>
    <w:rsid w:val="004B76FA"/>
    <w:rsid w:val="004C0090"/>
    <w:rsid w:val="004C084E"/>
    <w:rsid w:val="004C0A66"/>
    <w:rsid w:val="004C0CAC"/>
    <w:rsid w:val="004C0EC8"/>
    <w:rsid w:val="004C1280"/>
    <w:rsid w:val="004C18B5"/>
    <w:rsid w:val="004C1A9C"/>
    <w:rsid w:val="004C1F3F"/>
    <w:rsid w:val="004C1F8B"/>
    <w:rsid w:val="004C2539"/>
    <w:rsid w:val="004C2C44"/>
    <w:rsid w:val="004C34BD"/>
    <w:rsid w:val="004C41A0"/>
    <w:rsid w:val="004C4318"/>
    <w:rsid w:val="004C4331"/>
    <w:rsid w:val="004C4758"/>
    <w:rsid w:val="004C47CC"/>
    <w:rsid w:val="004C534A"/>
    <w:rsid w:val="004C560F"/>
    <w:rsid w:val="004C5A1E"/>
    <w:rsid w:val="004C6133"/>
    <w:rsid w:val="004C66E5"/>
    <w:rsid w:val="004C68D3"/>
    <w:rsid w:val="004C6EDE"/>
    <w:rsid w:val="004C7122"/>
    <w:rsid w:val="004C7461"/>
    <w:rsid w:val="004C75DC"/>
    <w:rsid w:val="004C76A8"/>
    <w:rsid w:val="004C772B"/>
    <w:rsid w:val="004D06CE"/>
    <w:rsid w:val="004D08F8"/>
    <w:rsid w:val="004D0A7C"/>
    <w:rsid w:val="004D2251"/>
    <w:rsid w:val="004D2CAA"/>
    <w:rsid w:val="004D342A"/>
    <w:rsid w:val="004D345B"/>
    <w:rsid w:val="004D362C"/>
    <w:rsid w:val="004D3DCC"/>
    <w:rsid w:val="004D3E97"/>
    <w:rsid w:val="004D3EEC"/>
    <w:rsid w:val="004D47EA"/>
    <w:rsid w:val="004D5098"/>
    <w:rsid w:val="004D576D"/>
    <w:rsid w:val="004D5A81"/>
    <w:rsid w:val="004D6220"/>
    <w:rsid w:val="004D74E1"/>
    <w:rsid w:val="004D79CB"/>
    <w:rsid w:val="004D7A01"/>
    <w:rsid w:val="004D7B7C"/>
    <w:rsid w:val="004E0110"/>
    <w:rsid w:val="004E105E"/>
    <w:rsid w:val="004E1A30"/>
    <w:rsid w:val="004E2A02"/>
    <w:rsid w:val="004E2D84"/>
    <w:rsid w:val="004E345C"/>
    <w:rsid w:val="004E3870"/>
    <w:rsid w:val="004E396C"/>
    <w:rsid w:val="004E3C4A"/>
    <w:rsid w:val="004E4679"/>
    <w:rsid w:val="004E49F6"/>
    <w:rsid w:val="004E5AFA"/>
    <w:rsid w:val="004E5EDC"/>
    <w:rsid w:val="004E5FC1"/>
    <w:rsid w:val="004E6319"/>
    <w:rsid w:val="004E657B"/>
    <w:rsid w:val="004E73FB"/>
    <w:rsid w:val="004E79EB"/>
    <w:rsid w:val="004E7E77"/>
    <w:rsid w:val="004F05D2"/>
    <w:rsid w:val="004F0939"/>
    <w:rsid w:val="004F0DB1"/>
    <w:rsid w:val="004F168F"/>
    <w:rsid w:val="004F43F4"/>
    <w:rsid w:val="004F517B"/>
    <w:rsid w:val="004F53E3"/>
    <w:rsid w:val="004F57BF"/>
    <w:rsid w:val="004F60A2"/>
    <w:rsid w:val="004F6103"/>
    <w:rsid w:val="004F7C2E"/>
    <w:rsid w:val="00500586"/>
    <w:rsid w:val="00500661"/>
    <w:rsid w:val="0050184F"/>
    <w:rsid w:val="00501BD1"/>
    <w:rsid w:val="0050212A"/>
    <w:rsid w:val="005023BF"/>
    <w:rsid w:val="00503550"/>
    <w:rsid w:val="0050355B"/>
    <w:rsid w:val="00504303"/>
    <w:rsid w:val="005048CE"/>
    <w:rsid w:val="00504D71"/>
    <w:rsid w:val="00504DE5"/>
    <w:rsid w:val="0050539D"/>
    <w:rsid w:val="0050579A"/>
    <w:rsid w:val="00506035"/>
    <w:rsid w:val="005065EE"/>
    <w:rsid w:val="0050678E"/>
    <w:rsid w:val="005068F3"/>
    <w:rsid w:val="00507030"/>
    <w:rsid w:val="00507504"/>
    <w:rsid w:val="00507B16"/>
    <w:rsid w:val="005104CD"/>
    <w:rsid w:val="0051053F"/>
    <w:rsid w:val="005106D0"/>
    <w:rsid w:val="00510EE3"/>
    <w:rsid w:val="005110BF"/>
    <w:rsid w:val="00511CA5"/>
    <w:rsid w:val="005129C5"/>
    <w:rsid w:val="00512A2C"/>
    <w:rsid w:val="00513DE7"/>
    <w:rsid w:val="0051404A"/>
    <w:rsid w:val="005143F9"/>
    <w:rsid w:val="00514478"/>
    <w:rsid w:val="00514488"/>
    <w:rsid w:val="00515DD1"/>
    <w:rsid w:val="00515FD0"/>
    <w:rsid w:val="00516318"/>
    <w:rsid w:val="00516516"/>
    <w:rsid w:val="0051664E"/>
    <w:rsid w:val="00516E86"/>
    <w:rsid w:val="00517122"/>
    <w:rsid w:val="0051715A"/>
    <w:rsid w:val="00520087"/>
    <w:rsid w:val="00520199"/>
    <w:rsid w:val="00520B6A"/>
    <w:rsid w:val="00520DDA"/>
    <w:rsid w:val="005219F3"/>
    <w:rsid w:val="00521A30"/>
    <w:rsid w:val="00522A52"/>
    <w:rsid w:val="00522C1E"/>
    <w:rsid w:val="00522CB4"/>
    <w:rsid w:val="00522EFB"/>
    <w:rsid w:val="00522FBE"/>
    <w:rsid w:val="005238FB"/>
    <w:rsid w:val="0052486F"/>
    <w:rsid w:val="005249E9"/>
    <w:rsid w:val="00525028"/>
    <w:rsid w:val="005253D6"/>
    <w:rsid w:val="00525A0C"/>
    <w:rsid w:val="00527823"/>
    <w:rsid w:val="00527975"/>
    <w:rsid w:val="00527F12"/>
    <w:rsid w:val="0053063E"/>
    <w:rsid w:val="00531B79"/>
    <w:rsid w:val="00531E8B"/>
    <w:rsid w:val="0053220E"/>
    <w:rsid w:val="005327A3"/>
    <w:rsid w:val="00532A7B"/>
    <w:rsid w:val="00533100"/>
    <w:rsid w:val="0053428C"/>
    <w:rsid w:val="005359BB"/>
    <w:rsid w:val="00535D57"/>
    <w:rsid w:val="00536012"/>
    <w:rsid w:val="00536D74"/>
    <w:rsid w:val="005401CB"/>
    <w:rsid w:val="00540243"/>
    <w:rsid w:val="005413A9"/>
    <w:rsid w:val="00541B35"/>
    <w:rsid w:val="00541DCC"/>
    <w:rsid w:val="00541EBC"/>
    <w:rsid w:val="00542115"/>
    <w:rsid w:val="0054216E"/>
    <w:rsid w:val="00542C69"/>
    <w:rsid w:val="00543299"/>
    <w:rsid w:val="005437FE"/>
    <w:rsid w:val="005439E7"/>
    <w:rsid w:val="005440B6"/>
    <w:rsid w:val="0054523D"/>
    <w:rsid w:val="00545599"/>
    <w:rsid w:val="00545A8F"/>
    <w:rsid w:val="00545EB1"/>
    <w:rsid w:val="00546048"/>
    <w:rsid w:val="005464AC"/>
    <w:rsid w:val="005468D7"/>
    <w:rsid w:val="00546A3B"/>
    <w:rsid w:val="00546A50"/>
    <w:rsid w:val="00546AC6"/>
    <w:rsid w:val="0054739A"/>
    <w:rsid w:val="00547E23"/>
    <w:rsid w:val="00547F15"/>
    <w:rsid w:val="00550159"/>
    <w:rsid w:val="005511E3"/>
    <w:rsid w:val="00551874"/>
    <w:rsid w:val="00551D5F"/>
    <w:rsid w:val="00551DDD"/>
    <w:rsid w:val="00551FE2"/>
    <w:rsid w:val="005535B1"/>
    <w:rsid w:val="005539B1"/>
    <w:rsid w:val="00554293"/>
    <w:rsid w:val="005544DD"/>
    <w:rsid w:val="00554BF7"/>
    <w:rsid w:val="00555A02"/>
    <w:rsid w:val="00555D38"/>
    <w:rsid w:val="00556032"/>
    <w:rsid w:val="005563A2"/>
    <w:rsid w:val="0055649F"/>
    <w:rsid w:val="00556BDD"/>
    <w:rsid w:val="00556CFB"/>
    <w:rsid w:val="0055702D"/>
    <w:rsid w:val="005576E6"/>
    <w:rsid w:val="005602DA"/>
    <w:rsid w:val="00560505"/>
    <w:rsid w:val="00560D8C"/>
    <w:rsid w:val="005614D0"/>
    <w:rsid w:val="00561633"/>
    <w:rsid w:val="00561D69"/>
    <w:rsid w:val="00561F9B"/>
    <w:rsid w:val="00564929"/>
    <w:rsid w:val="00564CAF"/>
    <w:rsid w:val="00565F58"/>
    <w:rsid w:val="00567102"/>
    <w:rsid w:val="0056730E"/>
    <w:rsid w:val="0056731A"/>
    <w:rsid w:val="00567559"/>
    <w:rsid w:val="00567601"/>
    <w:rsid w:val="00567870"/>
    <w:rsid w:val="00567FB6"/>
    <w:rsid w:val="00570449"/>
    <w:rsid w:val="0057099E"/>
    <w:rsid w:val="005709CE"/>
    <w:rsid w:val="00570BBD"/>
    <w:rsid w:val="0057133A"/>
    <w:rsid w:val="00572149"/>
    <w:rsid w:val="005724F3"/>
    <w:rsid w:val="005732B7"/>
    <w:rsid w:val="00573852"/>
    <w:rsid w:val="005739FB"/>
    <w:rsid w:val="00573E35"/>
    <w:rsid w:val="005744A3"/>
    <w:rsid w:val="00574962"/>
    <w:rsid w:val="00575BD3"/>
    <w:rsid w:val="0057685F"/>
    <w:rsid w:val="00576D06"/>
    <w:rsid w:val="00576FA2"/>
    <w:rsid w:val="00577E6B"/>
    <w:rsid w:val="005801CD"/>
    <w:rsid w:val="00580580"/>
    <w:rsid w:val="005807D5"/>
    <w:rsid w:val="00580873"/>
    <w:rsid w:val="00580C84"/>
    <w:rsid w:val="005813C1"/>
    <w:rsid w:val="005814F2"/>
    <w:rsid w:val="00581DB0"/>
    <w:rsid w:val="005824D8"/>
    <w:rsid w:val="00582537"/>
    <w:rsid w:val="0058261C"/>
    <w:rsid w:val="005830E7"/>
    <w:rsid w:val="00583FAE"/>
    <w:rsid w:val="005841B1"/>
    <w:rsid w:val="00584235"/>
    <w:rsid w:val="005842FD"/>
    <w:rsid w:val="005844E1"/>
    <w:rsid w:val="0058456B"/>
    <w:rsid w:val="00584BF3"/>
    <w:rsid w:val="00584D71"/>
    <w:rsid w:val="005850A7"/>
    <w:rsid w:val="00585264"/>
    <w:rsid w:val="00585339"/>
    <w:rsid w:val="0058697B"/>
    <w:rsid w:val="00586CCD"/>
    <w:rsid w:val="00587534"/>
    <w:rsid w:val="00587BAD"/>
    <w:rsid w:val="00590DDC"/>
    <w:rsid w:val="00591982"/>
    <w:rsid w:val="00591D2D"/>
    <w:rsid w:val="005932B1"/>
    <w:rsid w:val="0059337F"/>
    <w:rsid w:val="00593407"/>
    <w:rsid w:val="0059385B"/>
    <w:rsid w:val="0059470B"/>
    <w:rsid w:val="00594D17"/>
    <w:rsid w:val="00594D63"/>
    <w:rsid w:val="00594DDA"/>
    <w:rsid w:val="005955ED"/>
    <w:rsid w:val="00596554"/>
    <w:rsid w:val="00596881"/>
    <w:rsid w:val="0059722C"/>
    <w:rsid w:val="005A0070"/>
    <w:rsid w:val="005A02F3"/>
    <w:rsid w:val="005A039E"/>
    <w:rsid w:val="005A0C5A"/>
    <w:rsid w:val="005A0C6A"/>
    <w:rsid w:val="005A1DEE"/>
    <w:rsid w:val="005A288B"/>
    <w:rsid w:val="005A2B83"/>
    <w:rsid w:val="005A31FD"/>
    <w:rsid w:val="005A3455"/>
    <w:rsid w:val="005A372A"/>
    <w:rsid w:val="005A3FDA"/>
    <w:rsid w:val="005A408A"/>
    <w:rsid w:val="005A4859"/>
    <w:rsid w:val="005A4E8C"/>
    <w:rsid w:val="005A4FC3"/>
    <w:rsid w:val="005A5DB9"/>
    <w:rsid w:val="005A6D4C"/>
    <w:rsid w:val="005A7F50"/>
    <w:rsid w:val="005B063C"/>
    <w:rsid w:val="005B11B2"/>
    <w:rsid w:val="005B16D0"/>
    <w:rsid w:val="005B1FAA"/>
    <w:rsid w:val="005B21D8"/>
    <w:rsid w:val="005B239C"/>
    <w:rsid w:val="005B2897"/>
    <w:rsid w:val="005B4255"/>
    <w:rsid w:val="005B426F"/>
    <w:rsid w:val="005B43F7"/>
    <w:rsid w:val="005B47DD"/>
    <w:rsid w:val="005B6BD2"/>
    <w:rsid w:val="005B708F"/>
    <w:rsid w:val="005B7F19"/>
    <w:rsid w:val="005C083A"/>
    <w:rsid w:val="005C0E62"/>
    <w:rsid w:val="005C1C6A"/>
    <w:rsid w:val="005C2329"/>
    <w:rsid w:val="005C2CA8"/>
    <w:rsid w:val="005C3248"/>
    <w:rsid w:val="005C33A6"/>
    <w:rsid w:val="005C37A7"/>
    <w:rsid w:val="005C3B35"/>
    <w:rsid w:val="005C4645"/>
    <w:rsid w:val="005C46F0"/>
    <w:rsid w:val="005C4EC9"/>
    <w:rsid w:val="005C5CCB"/>
    <w:rsid w:val="005C65FC"/>
    <w:rsid w:val="005C6C62"/>
    <w:rsid w:val="005C7ABA"/>
    <w:rsid w:val="005C7B68"/>
    <w:rsid w:val="005D0219"/>
    <w:rsid w:val="005D10FC"/>
    <w:rsid w:val="005D126F"/>
    <w:rsid w:val="005D1379"/>
    <w:rsid w:val="005D190D"/>
    <w:rsid w:val="005D19A2"/>
    <w:rsid w:val="005D1B11"/>
    <w:rsid w:val="005D1CEB"/>
    <w:rsid w:val="005D2401"/>
    <w:rsid w:val="005D25BD"/>
    <w:rsid w:val="005D37F7"/>
    <w:rsid w:val="005D38C0"/>
    <w:rsid w:val="005D40D6"/>
    <w:rsid w:val="005D40DE"/>
    <w:rsid w:val="005D4483"/>
    <w:rsid w:val="005D4797"/>
    <w:rsid w:val="005D4B5C"/>
    <w:rsid w:val="005D5471"/>
    <w:rsid w:val="005D56C3"/>
    <w:rsid w:val="005D616E"/>
    <w:rsid w:val="005D6183"/>
    <w:rsid w:val="005D64A9"/>
    <w:rsid w:val="005D6554"/>
    <w:rsid w:val="005D70B3"/>
    <w:rsid w:val="005D7507"/>
    <w:rsid w:val="005E07DA"/>
    <w:rsid w:val="005E11D6"/>
    <w:rsid w:val="005E11EA"/>
    <w:rsid w:val="005E13CB"/>
    <w:rsid w:val="005E1587"/>
    <w:rsid w:val="005E1D34"/>
    <w:rsid w:val="005E1F15"/>
    <w:rsid w:val="005E2242"/>
    <w:rsid w:val="005E2D3B"/>
    <w:rsid w:val="005E2E94"/>
    <w:rsid w:val="005E2F85"/>
    <w:rsid w:val="005E3369"/>
    <w:rsid w:val="005E3E4E"/>
    <w:rsid w:val="005E45D5"/>
    <w:rsid w:val="005E4705"/>
    <w:rsid w:val="005E4A94"/>
    <w:rsid w:val="005E4B4F"/>
    <w:rsid w:val="005E4F81"/>
    <w:rsid w:val="005E53BF"/>
    <w:rsid w:val="005E5653"/>
    <w:rsid w:val="005E59E4"/>
    <w:rsid w:val="005E61E8"/>
    <w:rsid w:val="005E6986"/>
    <w:rsid w:val="005E6D26"/>
    <w:rsid w:val="005E6EF7"/>
    <w:rsid w:val="005E6F8C"/>
    <w:rsid w:val="005E7039"/>
    <w:rsid w:val="005E7989"/>
    <w:rsid w:val="005E7B77"/>
    <w:rsid w:val="005E7F3B"/>
    <w:rsid w:val="005E7F9E"/>
    <w:rsid w:val="005F017D"/>
    <w:rsid w:val="005F02DC"/>
    <w:rsid w:val="005F0755"/>
    <w:rsid w:val="005F0994"/>
    <w:rsid w:val="005F11B8"/>
    <w:rsid w:val="005F120A"/>
    <w:rsid w:val="005F2057"/>
    <w:rsid w:val="005F225C"/>
    <w:rsid w:val="005F22E0"/>
    <w:rsid w:val="005F33CC"/>
    <w:rsid w:val="005F36BA"/>
    <w:rsid w:val="005F4132"/>
    <w:rsid w:val="005F4B21"/>
    <w:rsid w:val="005F65A6"/>
    <w:rsid w:val="0060006E"/>
    <w:rsid w:val="006000E2"/>
    <w:rsid w:val="00600D5E"/>
    <w:rsid w:val="00600E80"/>
    <w:rsid w:val="006023B1"/>
    <w:rsid w:val="00602564"/>
    <w:rsid w:val="0060373D"/>
    <w:rsid w:val="006039CF"/>
    <w:rsid w:val="00604260"/>
    <w:rsid w:val="00604348"/>
    <w:rsid w:val="00604A44"/>
    <w:rsid w:val="00604D0E"/>
    <w:rsid w:val="00604D1F"/>
    <w:rsid w:val="00604DE3"/>
    <w:rsid w:val="00606012"/>
    <w:rsid w:val="006062E2"/>
    <w:rsid w:val="00607283"/>
    <w:rsid w:val="0060765E"/>
    <w:rsid w:val="00607C46"/>
    <w:rsid w:val="00607F92"/>
    <w:rsid w:val="00607F98"/>
    <w:rsid w:val="006104A0"/>
    <w:rsid w:val="00611D1F"/>
    <w:rsid w:val="00611F92"/>
    <w:rsid w:val="00612358"/>
    <w:rsid w:val="0061307D"/>
    <w:rsid w:val="00613ADF"/>
    <w:rsid w:val="00614342"/>
    <w:rsid w:val="00614EC8"/>
    <w:rsid w:val="0061502B"/>
    <w:rsid w:val="00615A33"/>
    <w:rsid w:val="00617089"/>
    <w:rsid w:val="00617205"/>
    <w:rsid w:val="006172D8"/>
    <w:rsid w:val="006179BE"/>
    <w:rsid w:val="00617A15"/>
    <w:rsid w:val="00617C24"/>
    <w:rsid w:val="00617EE7"/>
    <w:rsid w:val="00620EC4"/>
    <w:rsid w:val="00621113"/>
    <w:rsid w:val="00621344"/>
    <w:rsid w:val="006213F8"/>
    <w:rsid w:val="006217D0"/>
    <w:rsid w:val="00621B79"/>
    <w:rsid w:val="00621BCA"/>
    <w:rsid w:val="00621D36"/>
    <w:rsid w:val="00622132"/>
    <w:rsid w:val="00622B6B"/>
    <w:rsid w:val="00622CF9"/>
    <w:rsid w:val="00622D64"/>
    <w:rsid w:val="00622F68"/>
    <w:rsid w:val="00622FE8"/>
    <w:rsid w:val="00623540"/>
    <w:rsid w:val="00623CA4"/>
    <w:rsid w:val="00623EA1"/>
    <w:rsid w:val="0062484C"/>
    <w:rsid w:val="00624A36"/>
    <w:rsid w:val="00624EBA"/>
    <w:rsid w:val="00625132"/>
    <w:rsid w:val="006254C2"/>
    <w:rsid w:val="00625855"/>
    <w:rsid w:val="00625BE3"/>
    <w:rsid w:val="00626470"/>
    <w:rsid w:val="006266AE"/>
    <w:rsid w:val="00627197"/>
    <w:rsid w:val="00627D49"/>
    <w:rsid w:val="006302F5"/>
    <w:rsid w:val="0063034F"/>
    <w:rsid w:val="006303D1"/>
    <w:rsid w:val="006307A4"/>
    <w:rsid w:val="00630A20"/>
    <w:rsid w:val="006310E1"/>
    <w:rsid w:val="0063137D"/>
    <w:rsid w:val="0063143B"/>
    <w:rsid w:val="00632071"/>
    <w:rsid w:val="00632455"/>
    <w:rsid w:val="0063328C"/>
    <w:rsid w:val="00634694"/>
    <w:rsid w:val="00634BDD"/>
    <w:rsid w:val="00635039"/>
    <w:rsid w:val="006353A4"/>
    <w:rsid w:val="00635B8A"/>
    <w:rsid w:val="006365B3"/>
    <w:rsid w:val="0063710F"/>
    <w:rsid w:val="006373C8"/>
    <w:rsid w:val="006374E9"/>
    <w:rsid w:val="00637A72"/>
    <w:rsid w:val="00637AB8"/>
    <w:rsid w:val="00637E1A"/>
    <w:rsid w:val="00640424"/>
    <w:rsid w:val="0064079E"/>
    <w:rsid w:val="006409D9"/>
    <w:rsid w:val="00641926"/>
    <w:rsid w:val="00642303"/>
    <w:rsid w:val="00642B66"/>
    <w:rsid w:val="00642CA2"/>
    <w:rsid w:val="0064381F"/>
    <w:rsid w:val="006446E4"/>
    <w:rsid w:val="0064472D"/>
    <w:rsid w:val="00644D53"/>
    <w:rsid w:val="006450FC"/>
    <w:rsid w:val="00645D6E"/>
    <w:rsid w:val="006468D3"/>
    <w:rsid w:val="00646ECE"/>
    <w:rsid w:val="006471A8"/>
    <w:rsid w:val="0064761C"/>
    <w:rsid w:val="00647F52"/>
    <w:rsid w:val="00650F8B"/>
    <w:rsid w:val="0065149D"/>
    <w:rsid w:val="006516FE"/>
    <w:rsid w:val="006525C5"/>
    <w:rsid w:val="00652DED"/>
    <w:rsid w:val="00653429"/>
    <w:rsid w:val="00654CFF"/>
    <w:rsid w:val="00654E0E"/>
    <w:rsid w:val="00654EFF"/>
    <w:rsid w:val="00655DB0"/>
    <w:rsid w:val="0065718B"/>
    <w:rsid w:val="00660309"/>
    <w:rsid w:val="00660A06"/>
    <w:rsid w:val="00660DA3"/>
    <w:rsid w:val="00660F71"/>
    <w:rsid w:val="0066125E"/>
    <w:rsid w:val="006619E1"/>
    <w:rsid w:val="0066298A"/>
    <w:rsid w:val="00663546"/>
    <w:rsid w:val="006649D9"/>
    <w:rsid w:val="00665BC2"/>
    <w:rsid w:val="00665ED6"/>
    <w:rsid w:val="00666B9C"/>
    <w:rsid w:val="00667397"/>
    <w:rsid w:val="006678E0"/>
    <w:rsid w:val="00667965"/>
    <w:rsid w:val="00667F08"/>
    <w:rsid w:val="0067082E"/>
    <w:rsid w:val="00670C1C"/>
    <w:rsid w:val="00670EA5"/>
    <w:rsid w:val="00671498"/>
    <w:rsid w:val="00672357"/>
    <w:rsid w:val="0067248F"/>
    <w:rsid w:val="0067321B"/>
    <w:rsid w:val="0067357C"/>
    <w:rsid w:val="00673ABD"/>
    <w:rsid w:val="006749BA"/>
    <w:rsid w:val="00674B5B"/>
    <w:rsid w:val="00674D25"/>
    <w:rsid w:val="006754B1"/>
    <w:rsid w:val="0067556C"/>
    <w:rsid w:val="00675681"/>
    <w:rsid w:val="0067658A"/>
    <w:rsid w:val="006769CE"/>
    <w:rsid w:val="00676A01"/>
    <w:rsid w:val="00676C18"/>
    <w:rsid w:val="00677475"/>
    <w:rsid w:val="00681035"/>
    <w:rsid w:val="006815C7"/>
    <w:rsid w:val="00681E5A"/>
    <w:rsid w:val="006825AE"/>
    <w:rsid w:val="00683088"/>
    <w:rsid w:val="0068387F"/>
    <w:rsid w:val="00683A01"/>
    <w:rsid w:val="00683F6F"/>
    <w:rsid w:val="00684097"/>
    <w:rsid w:val="00684CFE"/>
    <w:rsid w:val="00686074"/>
    <w:rsid w:val="00686FAC"/>
    <w:rsid w:val="006870A8"/>
    <w:rsid w:val="00687794"/>
    <w:rsid w:val="00687815"/>
    <w:rsid w:val="00687974"/>
    <w:rsid w:val="0069180F"/>
    <w:rsid w:val="00691BB3"/>
    <w:rsid w:val="00692B9E"/>
    <w:rsid w:val="00692C2A"/>
    <w:rsid w:val="0069324A"/>
    <w:rsid w:val="0069346C"/>
    <w:rsid w:val="006940A0"/>
    <w:rsid w:val="00694341"/>
    <w:rsid w:val="00694705"/>
    <w:rsid w:val="00694BA2"/>
    <w:rsid w:val="00694D10"/>
    <w:rsid w:val="00694DF7"/>
    <w:rsid w:val="006956AA"/>
    <w:rsid w:val="006962C6"/>
    <w:rsid w:val="00696614"/>
    <w:rsid w:val="0069754E"/>
    <w:rsid w:val="00697562"/>
    <w:rsid w:val="006977E6"/>
    <w:rsid w:val="00697CA2"/>
    <w:rsid w:val="006A0392"/>
    <w:rsid w:val="006A09B5"/>
    <w:rsid w:val="006A13A3"/>
    <w:rsid w:val="006A1E26"/>
    <w:rsid w:val="006A27F5"/>
    <w:rsid w:val="006A28E6"/>
    <w:rsid w:val="006A35E4"/>
    <w:rsid w:val="006A3B7B"/>
    <w:rsid w:val="006A4266"/>
    <w:rsid w:val="006A4BB6"/>
    <w:rsid w:val="006A4F2E"/>
    <w:rsid w:val="006A51CA"/>
    <w:rsid w:val="006A526D"/>
    <w:rsid w:val="006A52F7"/>
    <w:rsid w:val="006A63E1"/>
    <w:rsid w:val="006A64AD"/>
    <w:rsid w:val="006A6610"/>
    <w:rsid w:val="006A7074"/>
    <w:rsid w:val="006A7298"/>
    <w:rsid w:val="006A78BF"/>
    <w:rsid w:val="006A7E6A"/>
    <w:rsid w:val="006A7F98"/>
    <w:rsid w:val="006B102B"/>
    <w:rsid w:val="006B1415"/>
    <w:rsid w:val="006B150C"/>
    <w:rsid w:val="006B16AA"/>
    <w:rsid w:val="006B18DB"/>
    <w:rsid w:val="006B1ADC"/>
    <w:rsid w:val="006B2142"/>
    <w:rsid w:val="006B24FD"/>
    <w:rsid w:val="006B25E2"/>
    <w:rsid w:val="006B2C05"/>
    <w:rsid w:val="006B2F49"/>
    <w:rsid w:val="006B3284"/>
    <w:rsid w:val="006B333F"/>
    <w:rsid w:val="006B3B3C"/>
    <w:rsid w:val="006B3BC6"/>
    <w:rsid w:val="006B404B"/>
    <w:rsid w:val="006B4118"/>
    <w:rsid w:val="006B4603"/>
    <w:rsid w:val="006B49F1"/>
    <w:rsid w:val="006B52BD"/>
    <w:rsid w:val="006B54E9"/>
    <w:rsid w:val="006B5AFC"/>
    <w:rsid w:val="006B6353"/>
    <w:rsid w:val="006B6BE7"/>
    <w:rsid w:val="006B70E3"/>
    <w:rsid w:val="006B75C7"/>
    <w:rsid w:val="006B7721"/>
    <w:rsid w:val="006B7B04"/>
    <w:rsid w:val="006C16B3"/>
    <w:rsid w:val="006C227E"/>
    <w:rsid w:val="006C236D"/>
    <w:rsid w:val="006C271D"/>
    <w:rsid w:val="006C2B37"/>
    <w:rsid w:val="006C3ABA"/>
    <w:rsid w:val="006C3E22"/>
    <w:rsid w:val="006C3E6D"/>
    <w:rsid w:val="006C456F"/>
    <w:rsid w:val="006C5011"/>
    <w:rsid w:val="006C5959"/>
    <w:rsid w:val="006C6627"/>
    <w:rsid w:val="006C66EA"/>
    <w:rsid w:val="006C682A"/>
    <w:rsid w:val="006C6984"/>
    <w:rsid w:val="006C6F3D"/>
    <w:rsid w:val="006C7618"/>
    <w:rsid w:val="006D007E"/>
    <w:rsid w:val="006D0182"/>
    <w:rsid w:val="006D0506"/>
    <w:rsid w:val="006D0563"/>
    <w:rsid w:val="006D067F"/>
    <w:rsid w:val="006D06A8"/>
    <w:rsid w:val="006D0F3C"/>
    <w:rsid w:val="006D1677"/>
    <w:rsid w:val="006D1D65"/>
    <w:rsid w:val="006D1E0F"/>
    <w:rsid w:val="006D35FE"/>
    <w:rsid w:val="006D37CC"/>
    <w:rsid w:val="006D38BF"/>
    <w:rsid w:val="006D3FD8"/>
    <w:rsid w:val="006D5097"/>
    <w:rsid w:val="006D541F"/>
    <w:rsid w:val="006D6750"/>
    <w:rsid w:val="006D6D80"/>
    <w:rsid w:val="006D6F94"/>
    <w:rsid w:val="006D7D0A"/>
    <w:rsid w:val="006E031E"/>
    <w:rsid w:val="006E0F25"/>
    <w:rsid w:val="006E1202"/>
    <w:rsid w:val="006E1350"/>
    <w:rsid w:val="006E146A"/>
    <w:rsid w:val="006E1734"/>
    <w:rsid w:val="006E1839"/>
    <w:rsid w:val="006E1DF1"/>
    <w:rsid w:val="006E2777"/>
    <w:rsid w:val="006E2979"/>
    <w:rsid w:val="006E2ADE"/>
    <w:rsid w:val="006E2B52"/>
    <w:rsid w:val="006E44E8"/>
    <w:rsid w:val="006E492C"/>
    <w:rsid w:val="006E4B0D"/>
    <w:rsid w:val="006E4D28"/>
    <w:rsid w:val="006E66C7"/>
    <w:rsid w:val="006E6F32"/>
    <w:rsid w:val="006E7119"/>
    <w:rsid w:val="006E7681"/>
    <w:rsid w:val="006F1253"/>
    <w:rsid w:val="006F1E91"/>
    <w:rsid w:val="006F1EA2"/>
    <w:rsid w:val="006F1F19"/>
    <w:rsid w:val="006F2836"/>
    <w:rsid w:val="006F2EC6"/>
    <w:rsid w:val="006F3E97"/>
    <w:rsid w:val="006F4486"/>
    <w:rsid w:val="006F46A3"/>
    <w:rsid w:val="006F547B"/>
    <w:rsid w:val="006F5777"/>
    <w:rsid w:val="006F5829"/>
    <w:rsid w:val="006F5E8A"/>
    <w:rsid w:val="006F5F06"/>
    <w:rsid w:val="006F6249"/>
    <w:rsid w:val="006F64DA"/>
    <w:rsid w:val="006F6A4F"/>
    <w:rsid w:val="006F7022"/>
    <w:rsid w:val="006F7203"/>
    <w:rsid w:val="006F736D"/>
    <w:rsid w:val="006F7A0A"/>
    <w:rsid w:val="007002A7"/>
    <w:rsid w:val="0070065A"/>
    <w:rsid w:val="0070084F"/>
    <w:rsid w:val="00700F5B"/>
    <w:rsid w:val="0070276F"/>
    <w:rsid w:val="007027A3"/>
    <w:rsid w:val="00702EF3"/>
    <w:rsid w:val="00703013"/>
    <w:rsid w:val="007034FC"/>
    <w:rsid w:val="007044BE"/>
    <w:rsid w:val="00705166"/>
    <w:rsid w:val="00705A79"/>
    <w:rsid w:val="007066D3"/>
    <w:rsid w:val="00706C87"/>
    <w:rsid w:val="0070726E"/>
    <w:rsid w:val="00707274"/>
    <w:rsid w:val="007105BB"/>
    <w:rsid w:val="0071145F"/>
    <w:rsid w:val="00711693"/>
    <w:rsid w:val="00711853"/>
    <w:rsid w:val="00712C1A"/>
    <w:rsid w:val="00712D2C"/>
    <w:rsid w:val="007133E1"/>
    <w:rsid w:val="0071352E"/>
    <w:rsid w:val="00713922"/>
    <w:rsid w:val="007139F0"/>
    <w:rsid w:val="0071460C"/>
    <w:rsid w:val="00715427"/>
    <w:rsid w:val="007157AD"/>
    <w:rsid w:val="00716BDB"/>
    <w:rsid w:val="00716F29"/>
    <w:rsid w:val="00720047"/>
    <w:rsid w:val="00720602"/>
    <w:rsid w:val="00720810"/>
    <w:rsid w:val="0072155B"/>
    <w:rsid w:val="00721D2D"/>
    <w:rsid w:val="00721D6B"/>
    <w:rsid w:val="007224E2"/>
    <w:rsid w:val="00722F9D"/>
    <w:rsid w:val="00723295"/>
    <w:rsid w:val="0072354B"/>
    <w:rsid w:val="00723656"/>
    <w:rsid w:val="0072386C"/>
    <w:rsid w:val="0072393C"/>
    <w:rsid w:val="007245C1"/>
    <w:rsid w:val="007247B8"/>
    <w:rsid w:val="00724E5B"/>
    <w:rsid w:val="00725B93"/>
    <w:rsid w:val="00727268"/>
    <w:rsid w:val="00730469"/>
    <w:rsid w:val="00730DC4"/>
    <w:rsid w:val="00730E5D"/>
    <w:rsid w:val="007310E5"/>
    <w:rsid w:val="00731831"/>
    <w:rsid w:val="0073255A"/>
    <w:rsid w:val="00732B30"/>
    <w:rsid w:val="007331F5"/>
    <w:rsid w:val="00733424"/>
    <w:rsid w:val="0073396A"/>
    <w:rsid w:val="00733C92"/>
    <w:rsid w:val="007348E1"/>
    <w:rsid w:val="00734938"/>
    <w:rsid w:val="00735BB0"/>
    <w:rsid w:val="0073642D"/>
    <w:rsid w:val="0073647E"/>
    <w:rsid w:val="007365B0"/>
    <w:rsid w:val="00736754"/>
    <w:rsid w:val="00736C40"/>
    <w:rsid w:val="00737582"/>
    <w:rsid w:val="00737A59"/>
    <w:rsid w:val="00737E40"/>
    <w:rsid w:val="00740623"/>
    <w:rsid w:val="00740CAE"/>
    <w:rsid w:val="007410BA"/>
    <w:rsid w:val="007410FF"/>
    <w:rsid w:val="007413BC"/>
    <w:rsid w:val="007414B6"/>
    <w:rsid w:val="00741521"/>
    <w:rsid w:val="00741747"/>
    <w:rsid w:val="007418D8"/>
    <w:rsid w:val="00741DAC"/>
    <w:rsid w:val="007430DA"/>
    <w:rsid w:val="00745196"/>
    <w:rsid w:val="007456F5"/>
    <w:rsid w:val="00745BFD"/>
    <w:rsid w:val="00745F9D"/>
    <w:rsid w:val="00746264"/>
    <w:rsid w:val="00746BB6"/>
    <w:rsid w:val="00746C0E"/>
    <w:rsid w:val="00747011"/>
    <w:rsid w:val="007473C6"/>
    <w:rsid w:val="00747C56"/>
    <w:rsid w:val="00750B36"/>
    <w:rsid w:val="00751293"/>
    <w:rsid w:val="00751735"/>
    <w:rsid w:val="00751ADA"/>
    <w:rsid w:val="00752452"/>
    <w:rsid w:val="0075314F"/>
    <w:rsid w:val="00753AD6"/>
    <w:rsid w:val="00754682"/>
    <w:rsid w:val="00754696"/>
    <w:rsid w:val="00754D41"/>
    <w:rsid w:val="00755834"/>
    <w:rsid w:val="00755924"/>
    <w:rsid w:val="00755DFE"/>
    <w:rsid w:val="00755FFC"/>
    <w:rsid w:val="00756705"/>
    <w:rsid w:val="00756983"/>
    <w:rsid w:val="007571BA"/>
    <w:rsid w:val="0075770E"/>
    <w:rsid w:val="007602E2"/>
    <w:rsid w:val="007605EE"/>
    <w:rsid w:val="007610E2"/>
    <w:rsid w:val="007616F0"/>
    <w:rsid w:val="00761C6B"/>
    <w:rsid w:val="00761E24"/>
    <w:rsid w:val="00762076"/>
    <w:rsid w:val="00762535"/>
    <w:rsid w:val="00762581"/>
    <w:rsid w:val="0076279F"/>
    <w:rsid w:val="00763179"/>
    <w:rsid w:val="00763625"/>
    <w:rsid w:val="0076411E"/>
    <w:rsid w:val="0076447E"/>
    <w:rsid w:val="0076493A"/>
    <w:rsid w:val="00764D66"/>
    <w:rsid w:val="0076574B"/>
    <w:rsid w:val="00765EE8"/>
    <w:rsid w:val="00766300"/>
    <w:rsid w:val="00766385"/>
    <w:rsid w:val="00766611"/>
    <w:rsid w:val="007673D4"/>
    <w:rsid w:val="007675BF"/>
    <w:rsid w:val="00767E24"/>
    <w:rsid w:val="0077049E"/>
    <w:rsid w:val="007705D3"/>
    <w:rsid w:val="00770CEF"/>
    <w:rsid w:val="00771150"/>
    <w:rsid w:val="00771DE1"/>
    <w:rsid w:val="00771F62"/>
    <w:rsid w:val="007720E2"/>
    <w:rsid w:val="0077370B"/>
    <w:rsid w:val="00775731"/>
    <w:rsid w:val="00775A61"/>
    <w:rsid w:val="00775D2E"/>
    <w:rsid w:val="00775EBB"/>
    <w:rsid w:val="007760D2"/>
    <w:rsid w:val="00776B53"/>
    <w:rsid w:val="00776BF2"/>
    <w:rsid w:val="007775AD"/>
    <w:rsid w:val="00777A07"/>
    <w:rsid w:val="007804EC"/>
    <w:rsid w:val="00780626"/>
    <w:rsid w:val="00780D51"/>
    <w:rsid w:val="00780D69"/>
    <w:rsid w:val="00780D82"/>
    <w:rsid w:val="007811C3"/>
    <w:rsid w:val="00781372"/>
    <w:rsid w:val="0078152D"/>
    <w:rsid w:val="0078188B"/>
    <w:rsid w:val="007828C5"/>
    <w:rsid w:val="007828D4"/>
    <w:rsid w:val="00782DC4"/>
    <w:rsid w:val="0078305B"/>
    <w:rsid w:val="00783451"/>
    <w:rsid w:val="00783865"/>
    <w:rsid w:val="00783FA9"/>
    <w:rsid w:val="007841FD"/>
    <w:rsid w:val="00785533"/>
    <w:rsid w:val="0078553E"/>
    <w:rsid w:val="007858E2"/>
    <w:rsid w:val="007869B4"/>
    <w:rsid w:val="007869B8"/>
    <w:rsid w:val="00787698"/>
    <w:rsid w:val="00787A28"/>
    <w:rsid w:val="00790247"/>
    <w:rsid w:val="00790AEA"/>
    <w:rsid w:val="007914CC"/>
    <w:rsid w:val="007917C4"/>
    <w:rsid w:val="00791A07"/>
    <w:rsid w:val="00791BBF"/>
    <w:rsid w:val="00791CAF"/>
    <w:rsid w:val="0079209B"/>
    <w:rsid w:val="007923C7"/>
    <w:rsid w:val="00792AD9"/>
    <w:rsid w:val="00792F23"/>
    <w:rsid w:val="007930A1"/>
    <w:rsid w:val="007934F9"/>
    <w:rsid w:val="007934FB"/>
    <w:rsid w:val="007936CE"/>
    <w:rsid w:val="007936F3"/>
    <w:rsid w:val="00793AE1"/>
    <w:rsid w:val="00793F17"/>
    <w:rsid w:val="0079411F"/>
    <w:rsid w:val="007945A3"/>
    <w:rsid w:val="00794CA0"/>
    <w:rsid w:val="00794F01"/>
    <w:rsid w:val="007950B9"/>
    <w:rsid w:val="007953BA"/>
    <w:rsid w:val="00795892"/>
    <w:rsid w:val="00795D41"/>
    <w:rsid w:val="00795E1A"/>
    <w:rsid w:val="00796008"/>
    <w:rsid w:val="007965EB"/>
    <w:rsid w:val="0079734D"/>
    <w:rsid w:val="00797525"/>
    <w:rsid w:val="007975EA"/>
    <w:rsid w:val="00797749"/>
    <w:rsid w:val="00797984"/>
    <w:rsid w:val="007A01DC"/>
    <w:rsid w:val="007A0715"/>
    <w:rsid w:val="007A096F"/>
    <w:rsid w:val="007A0BBE"/>
    <w:rsid w:val="007A0BF6"/>
    <w:rsid w:val="007A0D84"/>
    <w:rsid w:val="007A13E1"/>
    <w:rsid w:val="007A1530"/>
    <w:rsid w:val="007A1B2E"/>
    <w:rsid w:val="007A1CB8"/>
    <w:rsid w:val="007A1EE3"/>
    <w:rsid w:val="007A27B9"/>
    <w:rsid w:val="007A2A40"/>
    <w:rsid w:val="007A2F3A"/>
    <w:rsid w:val="007A35D5"/>
    <w:rsid w:val="007A3A0F"/>
    <w:rsid w:val="007A3E76"/>
    <w:rsid w:val="007A42DE"/>
    <w:rsid w:val="007A4474"/>
    <w:rsid w:val="007A44B2"/>
    <w:rsid w:val="007A45FE"/>
    <w:rsid w:val="007A4C23"/>
    <w:rsid w:val="007A4C9D"/>
    <w:rsid w:val="007A6802"/>
    <w:rsid w:val="007A7180"/>
    <w:rsid w:val="007A7357"/>
    <w:rsid w:val="007A7395"/>
    <w:rsid w:val="007A7EA6"/>
    <w:rsid w:val="007B0458"/>
    <w:rsid w:val="007B052B"/>
    <w:rsid w:val="007B0654"/>
    <w:rsid w:val="007B092C"/>
    <w:rsid w:val="007B0B85"/>
    <w:rsid w:val="007B0BFB"/>
    <w:rsid w:val="007B109A"/>
    <w:rsid w:val="007B1516"/>
    <w:rsid w:val="007B24B1"/>
    <w:rsid w:val="007B2CC7"/>
    <w:rsid w:val="007B2E46"/>
    <w:rsid w:val="007B3710"/>
    <w:rsid w:val="007B3926"/>
    <w:rsid w:val="007B405B"/>
    <w:rsid w:val="007B570C"/>
    <w:rsid w:val="007B581C"/>
    <w:rsid w:val="007B6855"/>
    <w:rsid w:val="007B68A0"/>
    <w:rsid w:val="007B705E"/>
    <w:rsid w:val="007B7624"/>
    <w:rsid w:val="007B7C6C"/>
    <w:rsid w:val="007B7D7F"/>
    <w:rsid w:val="007C0680"/>
    <w:rsid w:val="007C0811"/>
    <w:rsid w:val="007C0C6D"/>
    <w:rsid w:val="007C0DE3"/>
    <w:rsid w:val="007C1246"/>
    <w:rsid w:val="007C1995"/>
    <w:rsid w:val="007C1C4E"/>
    <w:rsid w:val="007C1CFF"/>
    <w:rsid w:val="007C3CF3"/>
    <w:rsid w:val="007C423A"/>
    <w:rsid w:val="007C5654"/>
    <w:rsid w:val="007C56DC"/>
    <w:rsid w:val="007C58EB"/>
    <w:rsid w:val="007C66C2"/>
    <w:rsid w:val="007C6897"/>
    <w:rsid w:val="007C6B3A"/>
    <w:rsid w:val="007C71C6"/>
    <w:rsid w:val="007C73D0"/>
    <w:rsid w:val="007C79DC"/>
    <w:rsid w:val="007D0003"/>
    <w:rsid w:val="007D0B6A"/>
    <w:rsid w:val="007D157A"/>
    <w:rsid w:val="007D17A4"/>
    <w:rsid w:val="007D18F3"/>
    <w:rsid w:val="007D19B1"/>
    <w:rsid w:val="007D1B23"/>
    <w:rsid w:val="007D1BF9"/>
    <w:rsid w:val="007D1D72"/>
    <w:rsid w:val="007D1FEC"/>
    <w:rsid w:val="007D2174"/>
    <w:rsid w:val="007D28E7"/>
    <w:rsid w:val="007D2908"/>
    <w:rsid w:val="007D2E1E"/>
    <w:rsid w:val="007D3254"/>
    <w:rsid w:val="007D4012"/>
    <w:rsid w:val="007D40CF"/>
    <w:rsid w:val="007D4150"/>
    <w:rsid w:val="007D4396"/>
    <w:rsid w:val="007D45D1"/>
    <w:rsid w:val="007D4612"/>
    <w:rsid w:val="007D4D99"/>
    <w:rsid w:val="007D54EB"/>
    <w:rsid w:val="007D5B17"/>
    <w:rsid w:val="007D5C12"/>
    <w:rsid w:val="007D5C52"/>
    <w:rsid w:val="007D6A27"/>
    <w:rsid w:val="007D6DE3"/>
    <w:rsid w:val="007D6EBF"/>
    <w:rsid w:val="007D75F8"/>
    <w:rsid w:val="007D78D5"/>
    <w:rsid w:val="007D7E84"/>
    <w:rsid w:val="007D7F94"/>
    <w:rsid w:val="007E0991"/>
    <w:rsid w:val="007E0F4B"/>
    <w:rsid w:val="007E1557"/>
    <w:rsid w:val="007E196A"/>
    <w:rsid w:val="007E2BD2"/>
    <w:rsid w:val="007E2C2D"/>
    <w:rsid w:val="007E329C"/>
    <w:rsid w:val="007E353A"/>
    <w:rsid w:val="007E3EE4"/>
    <w:rsid w:val="007E4BE2"/>
    <w:rsid w:val="007E51E7"/>
    <w:rsid w:val="007E5443"/>
    <w:rsid w:val="007E54C9"/>
    <w:rsid w:val="007E55AF"/>
    <w:rsid w:val="007E55BA"/>
    <w:rsid w:val="007E5661"/>
    <w:rsid w:val="007E639B"/>
    <w:rsid w:val="007E6475"/>
    <w:rsid w:val="007E6FC9"/>
    <w:rsid w:val="007E7CDC"/>
    <w:rsid w:val="007E7F2C"/>
    <w:rsid w:val="007F004F"/>
    <w:rsid w:val="007F00FA"/>
    <w:rsid w:val="007F0C62"/>
    <w:rsid w:val="007F0EB1"/>
    <w:rsid w:val="007F11D9"/>
    <w:rsid w:val="007F1A91"/>
    <w:rsid w:val="007F2867"/>
    <w:rsid w:val="007F2C08"/>
    <w:rsid w:val="007F2EFD"/>
    <w:rsid w:val="007F3569"/>
    <w:rsid w:val="007F3B87"/>
    <w:rsid w:val="007F400F"/>
    <w:rsid w:val="007F41D8"/>
    <w:rsid w:val="007F4321"/>
    <w:rsid w:val="007F489C"/>
    <w:rsid w:val="007F4A07"/>
    <w:rsid w:val="007F56F2"/>
    <w:rsid w:val="007F589F"/>
    <w:rsid w:val="007F5913"/>
    <w:rsid w:val="007F5C77"/>
    <w:rsid w:val="007F5FDE"/>
    <w:rsid w:val="007F6272"/>
    <w:rsid w:val="007F711A"/>
    <w:rsid w:val="007F7323"/>
    <w:rsid w:val="007F7A64"/>
    <w:rsid w:val="007F7E37"/>
    <w:rsid w:val="0080062F"/>
    <w:rsid w:val="008006D0"/>
    <w:rsid w:val="00800B52"/>
    <w:rsid w:val="0080183B"/>
    <w:rsid w:val="008019A2"/>
    <w:rsid w:val="008021D4"/>
    <w:rsid w:val="008023F4"/>
    <w:rsid w:val="00803149"/>
    <w:rsid w:val="008034A1"/>
    <w:rsid w:val="00803804"/>
    <w:rsid w:val="00803DB7"/>
    <w:rsid w:val="00804028"/>
    <w:rsid w:val="00804EAE"/>
    <w:rsid w:val="008053BA"/>
    <w:rsid w:val="00805EB5"/>
    <w:rsid w:val="00805F06"/>
    <w:rsid w:val="00805F17"/>
    <w:rsid w:val="008061A5"/>
    <w:rsid w:val="0080680B"/>
    <w:rsid w:val="00806E1D"/>
    <w:rsid w:val="00806E68"/>
    <w:rsid w:val="00807B03"/>
    <w:rsid w:val="00807BAB"/>
    <w:rsid w:val="00807F92"/>
    <w:rsid w:val="00807FB5"/>
    <w:rsid w:val="00810570"/>
    <w:rsid w:val="00810945"/>
    <w:rsid w:val="00813A37"/>
    <w:rsid w:val="00813D6D"/>
    <w:rsid w:val="00814A22"/>
    <w:rsid w:val="00814B80"/>
    <w:rsid w:val="008154BC"/>
    <w:rsid w:val="008157E5"/>
    <w:rsid w:val="00815BE0"/>
    <w:rsid w:val="008166CC"/>
    <w:rsid w:val="0081670C"/>
    <w:rsid w:val="00816C36"/>
    <w:rsid w:val="008172BC"/>
    <w:rsid w:val="0081771C"/>
    <w:rsid w:val="00817B44"/>
    <w:rsid w:val="00817D0D"/>
    <w:rsid w:val="00817D17"/>
    <w:rsid w:val="0082012A"/>
    <w:rsid w:val="0082034C"/>
    <w:rsid w:val="0082067C"/>
    <w:rsid w:val="00820900"/>
    <w:rsid w:val="00820DDF"/>
    <w:rsid w:val="00820DE7"/>
    <w:rsid w:val="00820EF0"/>
    <w:rsid w:val="008210F4"/>
    <w:rsid w:val="0082222E"/>
    <w:rsid w:val="008226D5"/>
    <w:rsid w:val="0082353B"/>
    <w:rsid w:val="00823BBF"/>
    <w:rsid w:val="008244FB"/>
    <w:rsid w:val="008249A2"/>
    <w:rsid w:val="00824B3A"/>
    <w:rsid w:val="008265B7"/>
    <w:rsid w:val="0082726A"/>
    <w:rsid w:val="0082763B"/>
    <w:rsid w:val="00827961"/>
    <w:rsid w:val="00827A2E"/>
    <w:rsid w:val="00827C6E"/>
    <w:rsid w:val="00830172"/>
    <w:rsid w:val="0083021F"/>
    <w:rsid w:val="00830A9D"/>
    <w:rsid w:val="00830EA5"/>
    <w:rsid w:val="0083107C"/>
    <w:rsid w:val="008312AC"/>
    <w:rsid w:val="0083163B"/>
    <w:rsid w:val="00831B1D"/>
    <w:rsid w:val="0083242F"/>
    <w:rsid w:val="00833DC9"/>
    <w:rsid w:val="008345EA"/>
    <w:rsid w:val="00834B48"/>
    <w:rsid w:val="00834BC0"/>
    <w:rsid w:val="008353B0"/>
    <w:rsid w:val="008354CD"/>
    <w:rsid w:val="00835672"/>
    <w:rsid w:val="00835F39"/>
    <w:rsid w:val="00836F29"/>
    <w:rsid w:val="00836F44"/>
    <w:rsid w:val="008370F0"/>
    <w:rsid w:val="008373AA"/>
    <w:rsid w:val="008375EF"/>
    <w:rsid w:val="0083792F"/>
    <w:rsid w:val="00837D64"/>
    <w:rsid w:val="00837F85"/>
    <w:rsid w:val="00837FC6"/>
    <w:rsid w:val="0084021C"/>
    <w:rsid w:val="00841B31"/>
    <w:rsid w:val="00842619"/>
    <w:rsid w:val="00842A6D"/>
    <w:rsid w:val="0084318F"/>
    <w:rsid w:val="00843C43"/>
    <w:rsid w:val="008450D9"/>
    <w:rsid w:val="00845389"/>
    <w:rsid w:val="00845C25"/>
    <w:rsid w:val="00845DE5"/>
    <w:rsid w:val="00845E45"/>
    <w:rsid w:val="0084648F"/>
    <w:rsid w:val="008465D8"/>
    <w:rsid w:val="00847901"/>
    <w:rsid w:val="00847DA2"/>
    <w:rsid w:val="00850275"/>
    <w:rsid w:val="008502D3"/>
    <w:rsid w:val="00851066"/>
    <w:rsid w:val="00851241"/>
    <w:rsid w:val="008522D1"/>
    <w:rsid w:val="0085427E"/>
    <w:rsid w:val="00855A42"/>
    <w:rsid w:val="0085694C"/>
    <w:rsid w:val="0085697E"/>
    <w:rsid w:val="00856B34"/>
    <w:rsid w:val="00856FCC"/>
    <w:rsid w:val="0085730F"/>
    <w:rsid w:val="00857914"/>
    <w:rsid w:val="00857E43"/>
    <w:rsid w:val="00861168"/>
    <w:rsid w:val="00861243"/>
    <w:rsid w:val="0086127C"/>
    <w:rsid w:val="0086150C"/>
    <w:rsid w:val="008615DC"/>
    <w:rsid w:val="008635E4"/>
    <w:rsid w:val="00863E13"/>
    <w:rsid w:val="00864841"/>
    <w:rsid w:val="008653CE"/>
    <w:rsid w:val="0086642A"/>
    <w:rsid w:val="008667C2"/>
    <w:rsid w:val="0086736B"/>
    <w:rsid w:val="00867782"/>
    <w:rsid w:val="008705E4"/>
    <w:rsid w:val="00870954"/>
    <w:rsid w:val="00871E6F"/>
    <w:rsid w:val="00872185"/>
    <w:rsid w:val="00873CBF"/>
    <w:rsid w:val="00874096"/>
    <w:rsid w:val="0087418A"/>
    <w:rsid w:val="00874568"/>
    <w:rsid w:val="0087564D"/>
    <w:rsid w:val="00875668"/>
    <w:rsid w:val="0087754B"/>
    <w:rsid w:val="0087768C"/>
    <w:rsid w:val="00880438"/>
    <w:rsid w:val="0088061D"/>
    <w:rsid w:val="0088076C"/>
    <w:rsid w:val="0088086D"/>
    <w:rsid w:val="00880F4E"/>
    <w:rsid w:val="00880FA7"/>
    <w:rsid w:val="008819DD"/>
    <w:rsid w:val="00881E84"/>
    <w:rsid w:val="0088262B"/>
    <w:rsid w:val="0088283A"/>
    <w:rsid w:val="00882E72"/>
    <w:rsid w:val="008831C3"/>
    <w:rsid w:val="008833AD"/>
    <w:rsid w:val="008843C7"/>
    <w:rsid w:val="00884407"/>
    <w:rsid w:val="00884C36"/>
    <w:rsid w:val="00884EB1"/>
    <w:rsid w:val="0088559E"/>
    <w:rsid w:val="00885CE9"/>
    <w:rsid w:val="00885CEE"/>
    <w:rsid w:val="0088635B"/>
    <w:rsid w:val="0088658C"/>
    <w:rsid w:val="0088691A"/>
    <w:rsid w:val="008869DB"/>
    <w:rsid w:val="00886B73"/>
    <w:rsid w:val="00886BBB"/>
    <w:rsid w:val="008874E8"/>
    <w:rsid w:val="00887C50"/>
    <w:rsid w:val="00887F8E"/>
    <w:rsid w:val="00890271"/>
    <w:rsid w:val="0089044D"/>
    <w:rsid w:val="008904D5"/>
    <w:rsid w:val="008906C0"/>
    <w:rsid w:val="00892733"/>
    <w:rsid w:val="00892AB3"/>
    <w:rsid w:val="00892F89"/>
    <w:rsid w:val="0089363E"/>
    <w:rsid w:val="00893F7B"/>
    <w:rsid w:val="00894CA1"/>
    <w:rsid w:val="0089554B"/>
    <w:rsid w:val="00895726"/>
    <w:rsid w:val="008957E2"/>
    <w:rsid w:val="00895A38"/>
    <w:rsid w:val="00896574"/>
    <w:rsid w:val="00896A15"/>
    <w:rsid w:val="00896BE9"/>
    <w:rsid w:val="00896EB7"/>
    <w:rsid w:val="00896F64"/>
    <w:rsid w:val="0089705C"/>
    <w:rsid w:val="00897E08"/>
    <w:rsid w:val="008A00BF"/>
    <w:rsid w:val="008A0B56"/>
    <w:rsid w:val="008A0B88"/>
    <w:rsid w:val="008A0D4A"/>
    <w:rsid w:val="008A0EC6"/>
    <w:rsid w:val="008A123F"/>
    <w:rsid w:val="008A154E"/>
    <w:rsid w:val="008A1707"/>
    <w:rsid w:val="008A1A23"/>
    <w:rsid w:val="008A2435"/>
    <w:rsid w:val="008A3439"/>
    <w:rsid w:val="008A36A9"/>
    <w:rsid w:val="008A3D0E"/>
    <w:rsid w:val="008A417F"/>
    <w:rsid w:val="008A444F"/>
    <w:rsid w:val="008A45C2"/>
    <w:rsid w:val="008A4694"/>
    <w:rsid w:val="008A4C8C"/>
    <w:rsid w:val="008A573B"/>
    <w:rsid w:val="008A5C21"/>
    <w:rsid w:val="008A61EE"/>
    <w:rsid w:val="008A638B"/>
    <w:rsid w:val="008A73CF"/>
    <w:rsid w:val="008A744E"/>
    <w:rsid w:val="008A761C"/>
    <w:rsid w:val="008A779E"/>
    <w:rsid w:val="008A78F2"/>
    <w:rsid w:val="008A7FC4"/>
    <w:rsid w:val="008B0082"/>
    <w:rsid w:val="008B02A6"/>
    <w:rsid w:val="008B1663"/>
    <w:rsid w:val="008B2107"/>
    <w:rsid w:val="008B2511"/>
    <w:rsid w:val="008B2592"/>
    <w:rsid w:val="008B2B02"/>
    <w:rsid w:val="008B2DFD"/>
    <w:rsid w:val="008B2E60"/>
    <w:rsid w:val="008B2FB0"/>
    <w:rsid w:val="008B32F7"/>
    <w:rsid w:val="008B34A2"/>
    <w:rsid w:val="008B36DC"/>
    <w:rsid w:val="008B373A"/>
    <w:rsid w:val="008B3C89"/>
    <w:rsid w:val="008B44B7"/>
    <w:rsid w:val="008B4523"/>
    <w:rsid w:val="008B4589"/>
    <w:rsid w:val="008B470B"/>
    <w:rsid w:val="008B4A9D"/>
    <w:rsid w:val="008B4FF5"/>
    <w:rsid w:val="008B5208"/>
    <w:rsid w:val="008B6127"/>
    <w:rsid w:val="008B68CE"/>
    <w:rsid w:val="008B6EE2"/>
    <w:rsid w:val="008B7319"/>
    <w:rsid w:val="008B7794"/>
    <w:rsid w:val="008C07E4"/>
    <w:rsid w:val="008C0879"/>
    <w:rsid w:val="008C09E5"/>
    <w:rsid w:val="008C0CC5"/>
    <w:rsid w:val="008C1102"/>
    <w:rsid w:val="008C110D"/>
    <w:rsid w:val="008C14FA"/>
    <w:rsid w:val="008C1587"/>
    <w:rsid w:val="008C1B0B"/>
    <w:rsid w:val="008C1C6E"/>
    <w:rsid w:val="008C21D2"/>
    <w:rsid w:val="008C2408"/>
    <w:rsid w:val="008C285C"/>
    <w:rsid w:val="008C293F"/>
    <w:rsid w:val="008C2F1A"/>
    <w:rsid w:val="008C3E36"/>
    <w:rsid w:val="008C41CC"/>
    <w:rsid w:val="008C42CE"/>
    <w:rsid w:val="008C4EBE"/>
    <w:rsid w:val="008C5B3E"/>
    <w:rsid w:val="008C5B58"/>
    <w:rsid w:val="008C5D20"/>
    <w:rsid w:val="008C606A"/>
    <w:rsid w:val="008C6472"/>
    <w:rsid w:val="008C7592"/>
    <w:rsid w:val="008C7D02"/>
    <w:rsid w:val="008D02F7"/>
    <w:rsid w:val="008D1106"/>
    <w:rsid w:val="008D136F"/>
    <w:rsid w:val="008D2E6E"/>
    <w:rsid w:val="008D371D"/>
    <w:rsid w:val="008D37CC"/>
    <w:rsid w:val="008D3AD4"/>
    <w:rsid w:val="008D4637"/>
    <w:rsid w:val="008D470B"/>
    <w:rsid w:val="008D4A6D"/>
    <w:rsid w:val="008D4CD0"/>
    <w:rsid w:val="008D4D3E"/>
    <w:rsid w:val="008D4D73"/>
    <w:rsid w:val="008D5521"/>
    <w:rsid w:val="008D5641"/>
    <w:rsid w:val="008D5887"/>
    <w:rsid w:val="008D5BDA"/>
    <w:rsid w:val="008D5D72"/>
    <w:rsid w:val="008D75D2"/>
    <w:rsid w:val="008E05D4"/>
    <w:rsid w:val="008E0AF7"/>
    <w:rsid w:val="008E0B00"/>
    <w:rsid w:val="008E0C3A"/>
    <w:rsid w:val="008E0C44"/>
    <w:rsid w:val="008E0FC7"/>
    <w:rsid w:val="008E1221"/>
    <w:rsid w:val="008E13C3"/>
    <w:rsid w:val="008E1633"/>
    <w:rsid w:val="008E17FF"/>
    <w:rsid w:val="008E2043"/>
    <w:rsid w:val="008E229A"/>
    <w:rsid w:val="008E26B0"/>
    <w:rsid w:val="008E26E4"/>
    <w:rsid w:val="008E28CA"/>
    <w:rsid w:val="008E2B29"/>
    <w:rsid w:val="008E2BC6"/>
    <w:rsid w:val="008E2E65"/>
    <w:rsid w:val="008E2F4D"/>
    <w:rsid w:val="008E5410"/>
    <w:rsid w:val="008E58F0"/>
    <w:rsid w:val="008E5CA6"/>
    <w:rsid w:val="008E620E"/>
    <w:rsid w:val="008E6AA2"/>
    <w:rsid w:val="008E6B0E"/>
    <w:rsid w:val="008E7E8E"/>
    <w:rsid w:val="008F06DA"/>
    <w:rsid w:val="008F0BF8"/>
    <w:rsid w:val="008F0C1D"/>
    <w:rsid w:val="008F14CC"/>
    <w:rsid w:val="008F160E"/>
    <w:rsid w:val="008F17AB"/>
    <w:rsid w:val="008F2DA2"/>
    <w:rsid w:val="008F3216"/>
    <w:rsid w:val="008F3938"/>
    <w:rsid w:val="008F39AD"/>
    <w:rsid w:val="008F39BA"/>
    <w:rsid w:val="008F3EC5"/>
    <w:rsid w:val="008F3F9D"/>
    <w:rsid w:val="008F4600"/>
    <w:rsid w:val="008F4704"/>
    <w:rsid w:val="008F4F8B"/>
    <w:rsid w:val="008F52E4"/>
    <w:rsid w:val="008F5432"/>
    <w:rsid w:val="008F61BC"/>
    <w:rsid w:val="008F6E03"/>
    <w:rsid w:val="008F6EA9"/>
    <w:rsid w:val="008F7386"/>
    <w:rsid w:val="008F799F"/>
    <w:rsid w:val="008F7F42"/>
    <w:rsid w:val="00900087"/>
    <w:rsid w:val="00900616"/>
    <w:rsid w:val="009006B9"/>
    <w:rsid w:val="00900A57"/>
    <w:rsid w:val="00900F7D"/>
    <w:rsid w:val="0090149A"/>
    <w:rsid w:val="0090152D"/>
    <w:rsid w:val="009017E6"/>
    <w:rsid w:val="00901E16"/>
    <w:rsid w:val="0090342F"/>
    <w:rsid w:val="00903BB1"/>
    <w:rsid w:val="00903C00"/>
    <w:rsid w:val="009045BB"/>
    <w:rsid w:val="00905186"/>
    <w:rsid w:val="00905A88"/>
    <w:rsid w:val="00905AF0"/>
    <w:rsid w:val="00905E35"/>
    <w:rsid w:val="009068BA"/>
    <w:rsid w:val="00906D0B"/>
    <w:rsid w:val="00906D7A"/>
    <w:rsid w:val="0090739B"/>
    <w:rsid w:val="00910140"/>
    <w:rsid w:val="00910D9C"/>
    <w:rsid w:val="00910FE0"/>
    <w:rsid w:val="0091110E"/>
    <w:rsid w:val="00911453"/>
    <w:rsid w:val="009121D6"/>
    <w:rsid w:val="0091263B"/>
    <w:rsid w:val="00913AB1"/>
    <w:rsid w:val="00913C0F"/>
    <w:rsid w:val="00913EE9"/>
    <w:rsid w:val="00914416"/>
    <w:rsid w:val="0091498A"/>
    <w:rsid w:val="00915221"/>
    <w:rsid w:val="009153AB"/>
    <w:rsid w:val="00915574"/>
    <w:rsid w:val="00915724"/>
    <w:rsid w:val="0091717C"/>
    <w:rsid w:val="00917593"/>
    <w:rsid w:val="009178E1"/>
    <w:rsid w:val="00917902"/>
    <w:rsid w:val="00917BCF"/>
    <w:rsid w:val="0092013C"/>
    <w:rsid w:val="009201FC"/>
    <w:rsid w:val="009204BA"/>
    <w:rsid w:val="00920599"/>
    <w:rsid w:val="00921689"/>
    <w:rsid w:val="00921F31"/>
    <w:rsid w:val="009220D5"/>
    <w:rsid w:val="0092215D"/>
    <w:rsid w:val="0092229D"/>
    <w:rsid w:val="00922461"/>
    <w:rsid w:val="00922D63"/>
    <w:rsid w:val="00922E7B"/>
    <w:rsid w:val="009237E0"/>
    <w:rsid w:val="00923B7C"/>
    <w:rsid w:val="00923FB9"/>
    <w:rsid w:val="00924608"/>
    <w:rsid w:val="00924783"/>
    <w:rsid w:val="009248AF"/>
    <w:rsid w:val="00924D6A"/>
    <w:rsid w:val="00925655"/>
    <w:rsid w:val="0092579F"/>
    <w:rsid w:val="00925C59"/>
    <w:rsid w:val="00925E3A"/>
    <w:rsid w:val="00925E7C"/>
    <w:rsid w:val="009262C6"/>
    <w:rsid w:val="00926876"/>
    <w:rsid w:val="009269B8"/>
    <w:rsid w:val="009270D4"/>
    <w:rsid w:val="00927201"/>
    <w:rsid w:val="009300D4"/>
    <w:rsid w:val="009301E4"/>
    <w:rsid w:val="00930FA0"/>
    <w:rsid w:val="00931B76"/>
    <w:rsid w:val="00931DB5"/>
    <w:rsid w:val="00933A27"/>
    <w:rsid w:val="00934974"/>
    <w:rsid w:val="00934BC3"/>
    <w:rsid w:val="00934C25"/>
    <w:rsid w:val="00934EDE"/>
    <w:rsid w:val="00935487"/>
    <w:rsid w:val="00936A1A"/>
    <w:rsid w:val="0093704D"/>
    <w:rsid w:val="00937219"/>
    <w:rsid w:val="009373AB"/>
    <w:rsid w:val="0093742F"/>
    <w:rsid w:val="009376CD"/>
    <w:rsid w:val="00937832"/>
    <w:rsid w:val="00937B90"/>
    <w:rsid w:val="0094040F"/>
    <w:rsid w:val="00940F28"/>
    <w:rsid w:val="00941F1A"/>
    <w:rsid w:val="009424B2"/>
    <w:rsid w:val="00943092"/>
    <w:rsid w:val="009432DA"/>
    <w:rsid w:val="00943FB3"/>
    <w:rsid w:val="00944B8E"/>
    <w:rsid w:val="00945477"/>
    <w:rsid w:val="00945A13"/>
    <w:rsid w:val="00945A87"/>
    <w:rsid w:val="00945D65"/>
    <w:rsid w:val="009466E0"/>
    <w:rsid w:val="00946C79"/>
    <w:rsid w:val="00946D9B"/>
    <w:rsid w:val="009501DF"/>
    <w:rsid w:val="00950998"/>
    <w:rsid w:val="00950999"/>
    <w:rsid w:val="00950AB9"/>
    <w:rsid w:val="00950CC7"/>
    <w:rsid w:val="00952375"/>
    <w:rsid w:val="009528F0"/>
    <w:rsid w:val="0095402D"/>
    <w:rsid w:val="00954701"/>
    <w:rsid w:val="009547BE"/>
    <w:rsid w:val="0095506E"/>
    <w:rsid w:val="00955406"/>
    <w:rsid w:val="00955476"/>
    <w:rsid w:val="00955656"/>
    <w:rsid w:val="009559BE"/>
    <w:rsid w:val="00955ACD"/>
    <w:rsid w:val="00955BA5"/>
    <w:rsid w:val="00956598"/>
    <w:rsid w:val="00956C8E"/>
    <w:rsid w:val="00957546"/>
    <w:rsid w:val="00957B5C"/>
    <w:rsid w:val="00960492"/>
    <w:rsid w:val="009607FD"/>
    <w:rsid w:val="009610A9"/>
    <w:rsid w:val="009610FE"/>
    <w:rsid w:val="00961C46"/>
    <w:rsid w:val="00962357"/>
    <w:rsid w:val="00963111"/>
    <w:rsid w:val="00963225"/>
    <w:rsid w:val="009632D8"/>
    <w:rsid w:val="00963421"/>
    <w:rsid w:val="009638D3"/>
    <w:rsid w:val="00966C8E"/>
    <w:rsid w:val="00966D3A"/>
    <w:rsid w:val="009671CB"/>
    <w:rsid w:val="00967471"/>
    <w:rsid w:val="00967482"/>
    <w:rsid w:val="0096767D"/>
    <w:rsid w:val="00967987"/>
    <w:rsid w:val="00967A87"/>
    <w:rsid w:val="00967F2B"/>
    <w:rsid w:val="00970131"/>
    <w:rsid w:val="0097068F"/>
    <w:rsid w:val="0097106F"/>
    <w:rsid w:val="00971581"/>
    <w:rsid w:val="00971C80"/>
    <w:rsid w:val="00971DF6"/>
    <w:rsid w:val="009725AB"/>
    <w:rsid w:val="009728C9"/>
    <w:rsid w:val="00972B68"/>
    <w:rsid w:val="00973393"/>
    <w:rsid w:val="00974A81"/>
    <w:rsid w:val="009752F1"/>
    <w:rsid w:val="0097641C"/>
    <w:rsid w:val="00976AC8"/>
    <w:rsid w:val="00976F98"/>
    <w:rsid w:val="009773A5"/>
    <w:rsid w:val="0097751E"/>
    <w:rsid w:val="00977E29"/>
    <w:rsid w:val="00980F96"/>
    <w:rsid w:val="00981787"/>
    <w:rsid w:val="00982248"/>
    <w:rsid w:val="0098298B"/>
    <w:rsid w:val="009835A0"/>
    <w:rsid w:val="00983666"/>
    <w:rsid w:val="00983866"/>
    <w:rsid w:val="00984023"/>
    <w:rsid w:val="0098463E"/>
    <w:rsid w:val="00984862"/>
    <w:rsid w:val="00984A90"/>
    <w:rsid w:val="0098505E"/>
    <w:rsid w:val="00985439"/>
    <w:rsid w:val="009854B7"/>
    <w:rsid w:val="00985557"/>
    <w:rsid w:val="009857E7"/>
    <w:rsid w:val="009858CE"/>
    <w:rsid w:val="00985FC8"/>
    <w:rsid w:val="00986416"/>
    <w:rsid w:val="0098662C"/>
    <w:rsid w:val="0098675A"/>
    <w:rsid w:val="00986772"/>
    <w:rsid w:val="00986D4D"/>
    <w:rsid w:val="00987902"/>
    <w:rsid w:val="00987AA3"/>
    <w:rsid w:val="00990322"/>
    <w:rsid w:val="00992012"/>
    <w:rsid w:val="0099236E"/>
    <w:rsid w:val="009924BC"/>
    <w:rsid w:val="0099256F"/>
    <w:rsid w:val="00992870"/>
    <w:rsid w:val="00992CC1"/>
    <w:rsid w:val="009932D1"/>
    <w:rsid w:val="00993681"/>
    <w:rsid w:val="00993BFC"/>
    <w:rsid w:val="009940A3"/>
    <w:rsid w:val="009943A6"/>
    <w:rsid w:val="009947FC"/>
    <w:rsid w:val="009948C4"/>
    <w:rsid w:val="00994B5B"/>
    <w:rsid w:val="00994C4A"/>
    <w:rsid w:val="009953A7"/>
    <w:rsid w:val="009961C5"/>
    <w:rsid w:val="009962FA"/>
    <w:rsid w:val="00996335"/>
    <w:rsid w:val="009964AA"/>
    <w:rsid w:val="00996618"/>
    <w:rsid w:val="0099666A"/>
    <w:rsid w:val="0099673B"/>
    <w:rsid w:val="00996F3B"/>
    <w:rsid w:val="00997997"/>
    <w:rsid w:val="00997F1A"/>
    <w:rsid w:val="009A0679"/>
    <w:rsid w:val="009A1655"/>
    <w:rsid w:val="009A1786"/>
    <w:rsid w:val="009A2CCB"/>
    <w:rsid w:val="009A2D6E"/>
    <w:rsid w:val="009A3154"/>
    <w:rsid w:val="009A38D6"/>
    <w:rsid w:val="009A4BBE"/>
    <w:rsid w:val="009A4DB7"/>
    <w:rsid w:val="009A4EEE"/>
    <w:rsid w:val="009A536A"/>
    <w:rsid w:val="009A5653"/>
    <w:rsid w:val="009A6284"/>
    <w:rsid w:val="009A66CB"/>
    <w:rsid w:val="009A6935"/>
    <w:rsid w:val="009A6DD7"/>
    <w:rsid w:val="009A6EEA"/>
    <w:rsid w:val="009A7A9E"/>
    <w:rsid w:val="009A7E61"/>
    <w:rsid w:val="009B0A5E"/>
    <w:rsid w:val="009B1365"/>
    <w:rsid w:val="009B1973"/>
    <w:rsid w:val="009B1AF5"/>
    <w:rsid w:val="009B1BC6"/>
    <w:rsid w:val="009B1C0F"/>
    <w:rsid w:val="009B21D0"/>
    <w:rsid w:val="009B32E7"/>
    <w:rsid w:val="009B3889"/>
    <w:rsid w:val="009B3918"/>
    <w:rsid w:val="009B3E89"/>
    <w:rsid w:val="009B3F63"/>
    <w:rsid w:val="009B4100"/>
    <w:rsid w:val="009B442A"/>
    <w:rsid w:val="009B45E2"/>
    <w:rsid w:val="009B4E84"/>
    <w:rsid w:val="009B55E9"/>
    <w:rsid w:val="009B67FF"/>
    <w:rsid w:val="009B6D34"/>
    <w:rsid w:val="009B7194"/>
    <w:rsid w:val="009C0153"/>
    <w:rsid w:val="009C05E3"/>
    <w:rsid w:val="009C2783"/>
    <w:rsid w:val="009C28F2"/>
    <w:rsid w:val="009C2D56"/>
    <w:rsid w:val="009C355B"/>
    <w:rsid w:val="009C3B9C"/>
    <w:rsid w:val="009C3F65"/>
    <w:rsid w:val="009C42A7"/>
    <w:rsid w:val="009C4603"/>
    <w:rsid w:val="009C5267"/>
    <w:rsid w:val="009C528D"/>
    <w:rsid w:val="009C5297"/>
    <w:rsid w:val="009C5417"/>
    <w:rsid w:val="009C541E"/>
    <w:rsid w:val="009C5DA7"/>
    <w:rsid w:val="009C5FF5"/>
    <w:rsid w:val="009D017B"/>
    <w:rsid w:val="009D03F5"/>
    <w:rsid w:val="009D1998"/>
    <w:rsid w:val="009D1D50"/>
    <w:rsid w:val="009D22DC"/>
    <w:rsid w:val="009D23C2"/>
    <w:rsid w:val="009D261B"/>
    <w:rsid w:val="009D26CA"/>
    <w:rsid w:val="009D28FE"/>
    <w:rsid w:val="009D29AD"/>
    <w:rsid w:val="009D34F9"/>
    <w:rsid w:val="009D3BFF"/>
    <w:rsid w:val="009D3D0B"/>
    <w:rsid w:val="009D3E50"/>
    <w:rsid w:val="009D3F33"/>
    <w:rsid w:val="009D407E"/>
    <w:rsid w:val="009D4929"/>
    <w:rsid w:val="009D4A87"/>
    <w:rsid w:val="009D4D01"/>
    <w:rsid w:val="009D4E2C"/>
    <w:rsid w:val="009D65C2"/>
    <w:rsid w:val="009D6B1A"/>
    <w:rsid w:val="009D6F29"/>
    <w:rsid w:val="009D7702"/>
    <w:rsid w:val="009D7837"/>
    <w:rsid w:val="009E038B"/>
    <w:rsid w:val="009E091F"/>
    <w:rsid w:val="009E0E52"/>
    <w:rsid w:val="009E0F93"/>
    <w:rsid w:val="009E13C0"/>
    <w:rsid w:val="009E17A7"/>
    <w:rsid w:val="009E1901"/>
    <w:rsid w:val="009E19C3"/>
    <w:rsid w:val="009E1B32"/>
    <w:rsid w:val="009E21BB"/>
    <w:rsid w:val="009E2670"/>
    <w:rsid w:val="009E284E"/>
    <w:rsid w:val="009E2EE3"/>
    <w:rsid w:val="009E3479"/>
    <w:rsid w:val="009E38DF"/>
    <w:rsid w:val="009E3A80"/>
    <w:rsid w:val="009E44B7"/>
    <w:rsid w:val="009E467C"/>
    <w:rsid w:val="009E48D2"/>
    <w:rsid w:val="009E4A38"/>
    <w:rsid w:val="009E52CD"/>
    <w:rsid w:val="009E706A"/>
    <w:rsid w:val="009E713F"/>
    <w:rsid w:val="009F0023"/>
    <w:rsid w:val="009F045B"/>
    <w:rsid w:val="009F049F"/>
    <w:rsid w:val="009F0984"/>
    <w:rsid w:val="009F0E98"/>
    <w:rsid w:val="009F1D6F"/>
    <w:rsid w:val="009F2096"/>
    <w:rsid w:val="009F211A"/>
    <w:rsid w:val="009F365A"/>
    <w:rsid w:val="009F36D4"/>
    <w:rsid w:val="009F3817"/>
    <w:rsid w:val="009F3B39"/>
    <w:rsid w:val="009F40DF"/>
    <w:rsid w:val="009F41ED"/>
    <w:rsid w:val="009F4F2D"/>
    <w:rsid w:val="009F5178"/>
    <w:rsid w:val="009F575E"/>
    <w:rsid w:val="009F582F"/>
    <w:rsid w:val="009F5B10"/>
    <w:rsid w:val="009F5ECB"/>
    <w:rsid w:val="009F5F63"/>
    <w:rsid w:val="009F676E"/>
    <w:rsid w:val="009F6AE9"/>
    <w:rsid w:val="009F70F0"/>
    <w:rsid w:val="009F7CD0"/>
    <w:rsid w:val="00A00C35"/>
    <w:rsid w:val="00A00C3E"/>
    <w:rsid w:val="00A0124C"/>
    <w:rsid w:val="00A01497"/>
    <w:rsid w:val="00A014C5"/>
    <w:rsid w:val="00A02413"/>
    <w:rsid w:val="00A024EB"/>
    <w:rsid w:val="00A0254D"/>
    <w:rsid w:val="00A0260B"/>
    <w:rsid w:val="00A0260E"/>
    <w:rsid w:val="00A02909"/>
    <w:rsid w:val="00A0490F"/>
    <w:rsid w:val="00A04CDE"/>
    <w:rsid w:val="00A05602"/>
    <w:rsid w:val="00A05712"/>
    <w:rsid w:val="00A05B0C"/>
    <w:rsid w:val="00A05E92"/>
    <w:rsid w:val="00A05ED6"/>
    <w:rsid w:val="00A061D0"/>
    <w:rsid w:val="00A06B51"/>
    <w:rsid w:val="00A0720F"/>
    <w:rsid w:val="00A07A88"/>
    <w:rsid w:val="00A07B08"/>
    <w:rsid w:val="00A07B43"/>
    <w:rsid w:val="00A10226"/>
    <w:rsid w:val="00A10970"/>
    <w:rsid w:val="00A1109E"/>
    <w:rsid w:val="00A11D72"/>
    <w:rsid w:val="00A11E85"/>
    <w:rsid w:val="00A11F1C"/>
    <w:rsid w:val="00A12E91"/>
    <w:rsid w:val="00A12F2F"/>
    <w:rsid w:val="00A13553"/>
    <w:rsid w:val="00A136FB"/>
    <w:rsid w:val="00A137A9"/>
    <w:rsid w:val="00A13D0B"/>
    <w:rsid w:val="00A14211"/>
    <w:rsid w:val="00A142EE"/>
    <w:rsid w:val="00A143EC"/>
    <w:rsid w:val="00A14650"/>
    <w:rsid w:val="00A146E1"/>
    <w:rsid w:val="00A152B9"/>
    <w:rsid w:val="00A15F61"/>
    <w:rsid w:val="00A1628F"/>
    <w:rsid w:val="00A163BB"/>
    <w:rsid w:val="00A16A53"/>
    <w:rsid w:val="00A16B1D"/>
    <w:rsid w:val="00A17753"/>
    <w:rsid w:val="00A17B8B"/>
    <w:rsid w:val="00A20162"/>
    <w:rsid w:val="00A21149"/>
    <w:rsid w:val="00A220AD"/>
    <w:rsid w:val="00A22E0B"/>
    <w:rsid w:val="00A237B2"/>
    <w:rsid w:val="00A23FD8"/>
    <w:rsid w:val="00A242B5"/>
    <w:rsid w:val="00A244FF"/>
    <w:rsid w:val="00A24B12"/>
    <w:rsid w:val="00A25268"/>
    <w:rsid w:val="00A25498"/>
    <w:rsid w:val="00A25B3F"/>
    <w:rsid w:val="00A2635E"/>
    <w:rsid w:val="00A26368"/>
    <w:rsid w:val="00A2680C"/>
    <w:rsid w:val="00A30408"/>
    <w:rsid w:val="00A3041F"/>
    <w:rsid w:val="00A3090D"/>
    <w:rsid w:val="00A30F1C"/>
    <w:rsid w:val="00A31331"/>
    <w:rsid w:val="00A31D5C"/>
    <w:rsid w:val="00A31EE9"/>
    <w:rsid w:val="00A320F6"/>
    <w:rsid w:val="00A3215B"/>
    <w:rsid w:val="00A32E3B"/>
    <w:rsid w:val="00A33006"/>
    <w:rsid w:val="00A33333"/>
    <w:rsid w:val="00A33BF8"/>
    <w:rsid w:val="00A348E1"/>
    <w:rsid w:val="00A34A5C"/>
    <w:rsid w:val="00A35506"/>
    <w:rsid w:val="00A35A71"/>
    <w:rsid w:val="00A35C16"/>
    <w:rsid w:val="00A35FB5"/>
    <w:rsid w:val="00A36BB6"/>
    <w:rsid w:val="00A376BD"/>
    <w:rsid w:val="00A37766"/>
    <w:rsid w:val="00A37C35"/>
    <w:rsid w:val="00A37F50"/>
    <w:rsid w:val="00A40703"/>
    <w:rsid w:val="00A4090B"/>
    <w:rsid w:val="00A41102"/>
    <w:rsid w:val="00A414D8"/>
    <w:rsid w:val="00A41A94"/>
    <w:rsid w:val="00A41B7D"/>
    <w:rsid w:val="00A41E8C"/>
    <w:rsid w:val="00A4201E"/>
    <w:rsid w:val="00A42D36"/>
    <w:rsid w:val="00A44F92"/>
    <w:rsid w:val="00A44FFD"/>
    <w:rsid w:val="00A45082"/>
    <w:rsid w:val="00A45729"/>
    <w:rsid w:val="00A45CF1"/>
    <w:rsid w:val="00A460CF"/>
    <w:rsid w:val="00A468BA"/>
    <w:rsid w:val="00A46C0F"/>
    <w:rsid w:val="00A46CA8"/>
    <w:rsid w:val="00A4700F"/>
    <w:rsid w:val="00A47527"/>
    <w:rsid w:val="00A50EDF"/>
    <w:rsid w:val="00A51397"/>
    <w:rsid w:val="00A518B2"/>
    <w:rsid w:val="00A51996"/>
    <w:rsid w:val="00A52426"/>
    <w:rsid w:val="00A527C5"/>
    <w:rsid w:val="00A52BC4"/>
    <w:rsid w:val="00A52F71"/>
    <w:rsid w:val="00A531AA"/>
    <w:rsid w:val="00A53392"/>
    <w:rsid w:val="00A53ABF"/>
    <w:rsid w:val="00A53D24"/>
    <w:rsid w:val="00A54764"/>
    <w:rsid w:val="00A5589D"/>
    <w:rsid w:val="00A56132"/>
    <w:rsid w:val="00A57A21"/>
    <w:rsid w:val="00A60195"/>
    <w:rsid w:val="00A608E9"/>
    <w:rsid w:val="00A609E1"/>
    <w:rsid w:val="00A6106C"/>
    <w:rsid w:val="00A61A12"/>
    <w:rsid w:val="00A61FA6"/>
    <w:rsid w:val="00A62DF6"/>
    <w:rsid w:val="00A631CC"/>
    <w:rsid w:val="00A63328"/>
    <w:rsid w:val="00A63E77"/>
    <w:rsid w:val="00A64E24"/>
    <w:rsid w:val="00A65891"/>
    <w:rsid w:val="00A66811"/>
    <w:rsid w:val="00A669C1"/>
    <w:rsid w:val="00A67889"/>
    <w:rsid w:val="00A679E4"/>
    <w:rsid w:val="00A67B6D"/>
    <w:rsid w:val="00A67B92"/>
    <w:rsid w:val="00A67F5E"/>
    <w:rsid w:val="00A70114"/>
    <w:rsid w:val="00A705B7"/>
    <w:rsid w:val="00A706AE"/>
    <w:rsid w:val="00A70824"/>
    <w:rsid w:val="00A7105F"/>
    <w:rsid w:val="00A71591"/>
    <w:rsid w:val="00A71E80"/>
    <w:rsid w:val="00A7242C"/>
    <w:rsid w:val="00A7293C"/>
    <w:rsid w:val="00A72A2D"/>
    <w:rsid w:val="00A73825"/>
    <w:rsid w:val="00A73CAC"/>
    <w:rsid w:val="00A74A9D"/>
    <w:rsid w:val="00A7540B"/>
    <w:rsid w:val="00A75933"/>
    <w:rsid w:val="00A7656B"/>
    <w:rsid w:val="00A76D07"/>
    <w:rsid w:val="00A77068"/>
    <w:rsid w:val="00A770DF"/>
    <w:rsid w:val="00A77A88"/>
    <w:rsid w:val="00A77C19"/>
    <w:rsid w:val="00A80B5D"/>
    <w:rsid w:val="00A80DC1"/>
    <w:rsid w:val="00A81830"/>
    <w:rsid w:val="00A81A46"/>
    <w:rsid w:val="00A81BA6"/>
    <w:rsid w:val="00A8240A"/>
    <w:rsid w:val="00A82825"/>
    <w:rsid w:val="00A82C74"/>
    <w:rsid w:val="00A831C2"/>
    <w:rsid w:val="00A83325"/>
    <w:rsid w:val="00A83461"/>
    <w:rsid w:val="00A8445F"/>
    <w:rsid w:val="00A845FF"/>
    <w:rsid w:val="00A8535D"/>
    <w:rsid w:val="00A85D50"/>
    <w:rsid w:val="00A85FD1"/>
    <w:rsid w:val="00A8680D"/>
    <w:rsid w:val="00A86A58"/>
    <w:rsid w:val="00A86CC4"/>
    <w:rsid w:val="00A870EE"/>
    <w:rsid w:val="00A87587"/>
    <w:rsid w:val="00A9039A"/>
    <w:rsid w:val="00A90E75"/>
    <w:rsid w:val="00A90ECD"/>
    <w:rsid w:val="00A90FF2"/>
    <w:rsid w:val="00A92481"/>
    <w:rsid w:val="00A92713"/>
    <w:rsid w:val="00A92A08"/>
    <w:rsid w:val="00A92A0C"/>
    <w:rsid w:val="00A92B90"/>
    <w:rsid w:val="00A93500"/>
    <w:rsid w:val="00A93B4B"/>
    <w:rsid w:val="00A93D92"/>
    <w:rsid w:val="00A94BA3"/>
    <w:rsid w:val="00A94CB3"/>
    <w:rsid w:val="00A94FB1"/>
    <w:rsid w:val="00A958FF"/>
    <w:rsid w:val="00A95F98"/>
    <w:rsid w:val="00A966A6"/>
    <w:rsid w:val="00A966F0"/>
    <w:rsid w:val="00A96704"/>
    <w:rsid w:val="00A96945"/>
    <w:rsid w:val="00A97167"/>
    <w:rsid w:val="00A9758F"/>
    <w:rsid w:val="00A97692"/>
    <w:rsid w:val="00A977B9"/>
    <w:rsid w:val="00A97A17"/>
    <w:rsid w:val="00A97D98"/>
    <w:rsid w:val="00AA0522"/>
    <w:rsid w:val="00AA0B59"/>
    <w:rsid w:val="00AA11E8"/>
    <w:rsid w:val="00AA12FC"/>
    <w:rsid w:val="00AA1569"/>
    <w:rsid w:val="00AA1706"/>
    <w:rsid w:val="00AA199A"/>
    <w:rsid w:val="00AA1AC7"/>
    <w:rsid w:val="00AA21B2"/>
    <w:rsid w:val="00AA247E"/>
    <w:rsid w:val="00AA2604"/>
    <w:rsid w:val="00AA2DBB"/>
    <w:rsid w:val="00AA4A22"/>
    <w:rsid w:val="00AA4B5D"/>
    <w:rsid w:val="00AA5780"/>
    <w:rsid w:val="00AA5AD6"/>
    <w:rsid w:val="00AA69FD"/>
    <w:rsid w:val="00AA733D"/>
    <w:rsid w:val="00AA7660"/>
    <w:rsid w:val="00AA7A57"/>
    <w:rsid w:val="00AA7B4B"/>
    <w:rsid w:val="00AA7CE1"/>
    <w:rsid w:val="00AA7ED8"/>
    <w:rsid w:val="00AB013C"/>
    <w:rsid w:val="00AB02FB"/>
    <w:rsid w:val="00AB0378"/>
    <w:rsid w:val="00AB14A2"/>
    <w:rsid w:val="00AB1509"/>
    <w:rsid w:val="00AB1AE4"/>
    <w:rsid w:val="00AB23DE"/>
    <w:rsid w:val="00AB24D2"/>
    <w:rsid w:val="00AB25C7"/>
    <w:rsid w:val="00AB2A1A"/>
    <w:rsid w:val="00AB3F36"/>
    <w:rsid w:val="00AB4832"/>
    <w:rsid w:val="00AB4B71"/>
    <w:rsid w:val="00AB4D66"/>
    <w:rsid w:val="00AB5C39"/>
    <w:rsid w:val="00AB5CC5"/>
    <w:rsid w:val="00AB5DC2"/>
    <w:rsid w:val="00AB633C"/>
    <w:rsid w:val="00AB6B2C"/>
    <w:rsid w:val="00AB74C7"/>
    <w:rsid w:val="00AB77A3"/>
    <w:rsid w:val="00AC031D"/>
    <w:rsid w:val="00AC0529"/>
    <w:rsid w:val="00AC063D"/>
    <w:rsid w:val="00AC1604"/>
    <w:rsid w:val="00AC1CDC"/>
    <w:rsid w:val="00AC1D8F"/>
    <w:rsid w:val="00AC2270"/>
    <w:rsid w:val="00AC29EA"/>
    <w:rsid w:val="00AC39CF"/>
    <w:rsid w:val="00AC3B96"/>
    <w:rsid w:val="00AC4358"/>
    <w:rsid w:val="00AC4415"/>
    <w:rsid w:val="00AC44B5"/>
    <w:rsid w:val="00AC4C13"/>
    <w:rsid w:val="00AC4C31"/>
    <w:rsid w:val="00AC4C74"/>
    <w:rsid w:val="00AC597D"/>
    <w:rsid w:val="00AC5AA7"/>
    <w:rsid w:val="00AC626D"/>
    <w:rsid w:val="00AC6EF9"/>
    <w:rsid w:val="00AC7122"/>
    <w:rsid w:val="00AC713E"/>
    <w:rsid w:val="00AC7413"/>
    <w:rsid w:val="00AC747F"/>
    <w:rsid w:val="00AC755E"/>
    <w:rsid w:val="00AC7780"/>
    <w:rsid w:val="00AC7CD7"/>
    <w:rsid w:val="00AD0344"/>
    <w:rsid w:val="00AD06EB"/>
    <w:rsid w:val="00AD0F46"/>
    <w:rsid w:val="00AD1174"/>
    <w:rsid w:val="00AD178B"/>
    <w:rsid w:val="00AD1FDB"/>
    <w:rsid w:val="00AD208C"/>
    <w:rsid w:val="00AD20FB"/>
    <w:rsid w:val="00AD2556"/>
    <w:rsid w:val="00AD2E2A"/>
    <w:rsid w:val="00AD2F27"/>
    <w:rsid w:val="00AD36EF"/>
    <w:rsid w:val="00AD3763"/>
    <w:rsid w:val="00AD3C5A"/>
    <w:rsid w:val="00AD4167"/>
    <w:rsid w:val="00AD4197"/>
    <w:rsid w:val="00AD5811"/>
    <w:rsid w:val="00AD5DE6"/>
    <w:rsid w:val="00AD5EE1"/>
    <w:rsid w:val="00AD6153"/>
    <w:rsid w:val="00AD6284"/>
    <w:rsid w:val="00AD62B0"/>
    <w:rsid w:val="00AD6D5D"/>
    <w:rsid w:val="00AD7348"/>
    <w:rsid w:val="00AD7545"/>
    <w:rsid w:val="00AD7961"/>
    <w:rsid w:val="00AD79C5"/>
    <w:rsid w:val="00AD7A3F"/>
    <w:rsid w:val="00AD7A54"/>
    <w:rsid w:val="00AD7F74"/>
    <w:rsid w:val="00AE06A1"/>
    <w:rsid w:val="00AE089B"/>
    <w:rsid w:val="00AE0914"/>
    <w:rsid w:val="00AE0C02"/>
    <w:rsid w:val="00AE1048"/>
    <w:rsid w:val="00AE134D"/>
    <w:rsid w:val="00AE13CC"/>
    <w:rsid w:val="00AE16C8"/>
    <w:rsid w:val="00AE1C05"/>
    <w:rsid w:val="00AE1E87"/>
    <w:rsid w:val="00AE31C2"/>
    <w:rsid w:val="00AE40C6"/>
    <w:rsid w:val="00AE4544"/>
    <w:rsid w:val="00AE4CC2"/>
    <w:rsid w:val="00AE4E16"/>
    <w:rsid w:val="00AE5796"/>
    <w:rsid w:val="00AE57CA"/>
    <w:rsid w:val="00AE5BB5"/>
    <w:rsid w:val="00AE5BBA"/>
    <w:rsid w:val="00AE6BEF"/>
    <w:rsid w:val="00AE7771"/>
    <w:rsid w:val="00AE78A4"/>
    <w:rsid w:val="00AE7EBA"/>
    <w:rsid w:val="00AF01AC"/>
    <w:rsid w:val="00AF03E9"/>
    <w:rsid w:val="00AF0788"/>
    <w:rsid w:val="00AF07EB"/>
    <w:rsid w:val="00AF0CED"/>
    <w:rsid w:val="00AF0CFA"/>
    <w:rsid w:val="00AF1B2A"/>
    <w:rsid w:val="00AF219D"/>
    <w:rsid w:val="00AF261A"/>
    <w:rsid w:val="00AF2D98"/>
    <w:rsid w:val="00AF3000"/>
    <w:rsid w:val="00AF318D"/>
    <w:rsid w:val="00AF3A40"/>
    <w:rsid w:val="00AF4354"/>
    <w:rsid w:val="00AF4DA1"/>
    <w:rsid w:val="00AF4E01"/>
    <w:rsid w:val="00AF5A55"/>
    <w:rsid w:val="00AF5B3C"/>
    <w:rsid w:val="00AF5E71"/>
    <w:rsid w:val="00AF6342"/>
    <w:rsid w:val="00AF7443"/>
    <w:rsid w:val="00B0077D"/>
    <w:rsid w:val="00B00D0D"/>
    <w:rsid w:val="00B014BC"/>
    <w:rsid w:val="00B01643"/>
    <w:rsid w:val="00B01DA6"/>
    <w:rsid w:val="00B01F60"/>
    <w:rsid w:val="00B020A9"/>
    <w:rsid w:val="00B0247A"/>
    <w:rsid w:val="00B02625"/>
    <w:rsid w:val="00B02731"/>
    <w:rsid w:val="00B02BB1"/>
    <w:rsid w:val="00B0381B"/>
    <w:rsid w:val="00B03ED6"/>
    <w:rsid w:val="00B046A8"/>
    <w:rsid w:val="00B048AD"/>
    <w:rsid w:val="00B04940"/>
    <w:rsid w:val="00B04DC3"/>
    <w:rsid w:val="00B05FC5"/>
    <w:rsid w:val="00B06154"/>
    <w:rsid w:val="00B06287"/>
    <w:rsid w:val="00B0629E"/>
    <w:rsid w:val="00B067B3"/>
    <w:rsid w:val="00B06E5C"/>
    <w:rsid w:val="00B071A3"/>
    <w:rsid w:val="00B1013C"/>
    <w:rsid w:val="00B1189F"/>
    <w:rsid w:val="00B11B6B"/>
    <w:rsid w:val="00B13137"/>
    <w:rsid w:val="00B13374"/>
    <w:rsid w:val="00B13C64"/>
    <w:rsid w:val="00B13EEF"/>
    <w:rsid w:val="00B1442C"/>
    <w:rsid w:val="00B1463B"/>
    <w:rsid w:val="00B14C16"/>
    <w:rsid w:val="00B14DBC"/>
    <w:rsid w:val="00B15A3E"/>
    <w:rsid w:val="00B15CD0"/>
    <w:rsid w:val="00B1664B"/>
    <w:rsid w:val="00B1762D"/>
    <w:rsid w:val="00B176A6"/>
    <w:rsid w:val="00B17E3C"/>
    <w:rsid w:val="00B20311"/>
    <w:rsid w:val="00B2038B"/>
    <w:rsid w:val="00B20AC4"/>
    <w:rsid w:val="00B20C7C"/>
    <w:rsid w:val="00B20D93"/>
    <w:rsid w:val="00B21A07"/>
    <w:rsid w:val="00B22628"/>
    <w:rsid w:val="00B22A08"/>
    <w:rsid w:val="00B23505"/>
    <w:rsid w:val="00B235BA"/>
    <w:rsid w:val="00B236A2"/>
    <w:rsid w:val="00B23F49"/>
    <w:rsid w:val="00B24856"/>
    <w:rsid w:val="00B2493A"/>
    <w:rsid w:val="00B24A1B"/>
    <w:rsid w:val="00B25604"/>
    <w:rsid w:val="00B25E2D"/>
    <w:rsid w:val="00B25FEB"/>
    <w:rsid w:val="00B26D33"/>
    <w:rsid w:val="00B30371"/>
    <w:rsid w:val="00B3037F"/>
    <w:rsid w:val="00B30CF6"/>
    <w:rsid w:val="00B31EDD"/>
    <w:rsid w:val="00B31F2D"/>
    <w:rsid w:val="00B32541"/>
    <w:rsid w:val="00B33A3B"/>
    <w:rsid w:val="00B33E68"/>
    <w:rsid w:val="00B34052"/>
    <w:rsid w:val="00B35A32"/>
    <w:rsid w:val="00B35A48"/>
    <w:rsid w:val="00B36234"/>
    <w:rsid w:val="00B36530"/>
    <w:rsid w:val="00B37815"/>
    <w:rsid w:val="00B37EBB"/>
    <w:rsid w:val="00B4164B"/>
    <w:rsid w:val="00B41761"/>
    <w:rsid w:val="00B423BE"/>
    <w:rsid w:val="00B42A05"/>
    <w:rsid w:val="00B43A6A"/>
    <w:rsid w:val="00B43D02"/>
    <w:rsid w:val="00B4448A"/>
    <w:rsid w:val="00B446B1"/>
    <w:rsid w:val="00B45502"/>
    <w:rsid w:val="00B45660"/>
    <w:rsid w:val="00B4639B"/>
    <w:rsid w:val="00B4645E"/>
    <w:rsid w:val="00B46524"/>
    <w:rsid w:val="00B46A8C"/>
    <w:rsid w:val="00B46B67"/>
    <w:rsid w:val="00B46FF3"/>
    <w:rsid w:val="00B472A5"/>
    <w:rsid w:val="00B47397"/>
    <w:rsid w:val="00B47571"/>
    <w:rsid w:val="00B506DF"/>
    <w:rsid w:val="00B50B07"/>
    <w:rsid w:val="00B50B16"/>
    <w:rsid w:val="00B50E8A"/>
    <w:rsid w:val="00B52768"/>
    <w:rsid w:val="00B52C25"/>
    <w:rsid w:val="00B52C6E"/>
    <w:rsid w:val="00B52FDD"/>
    <w:rsid w:val="00B53328"/>
    <w:rsid w:val="00B5396E"/>
    <w:rsid w:val="00B53FB4"/>
    <w:rsid w:val="00B5429D"/>
    <w:rsid w:val="00B542C0"/>
    <w:rsid w:val="00B546D6"/>
    <w:rsid w:val="00B54FB3"/>
    <w:rsid w:val="00B552A9"/>
    <w:rsid w:val="00B5571F"/>
    <w:rsid w:val="00B55A45"/>
    <w:rsid w:val="00B56045"/>
    <w:rsid w:val="00B56644"/>
    <w:rsid w:val="00B56771"/>
    <w:rsid w:val="00B56916"/>
    <w:rsid w:val="00B57645"/>
    <w:rsid w:val="00B6076E"/>
    <w:rsid w:val="00B607DD"/>
    <w:rsid w:val="00B62AEC"/>
    <w:rsid w:val="00B63159"/>
    <w:rsid w:val="00B6365E"/>
    <w:rsid w:val="00B63A21"/>
    <w:rsid w:val="00B6405D"/>
    <w:rsid w:val="00B641C1"/>
    <w:rsid w:val="00B6540A"/>
    <w:rsid w:val="00B6617C"/>
    <w:rsid w:val="00B66BB3"/>
    <w:rsid w:val="00B66BD0"/>
    <w:rsid w:val="00B66C59"/>
    <w:rsid w:val="00B66D56"/>
    <w:rsid w:val="00B67022"/>
    <w:rsid w:val="00B67686"/>
    <w:rsid w:val="00B676BA"/>
    <w:rsid w:val="00B67747"/>
    <w:rsid w:val="00B70A6B"/>
    <w:rsid w:val="00B7119E"/>
    <w:rsid w:val="00B71A32"/>
    <w:rsid w:val="00B71ECC"/>
    <w:rsid w:val="00B7224B"/>
    <w:rsid w:val="00B7268E"/>
    <w:rsid w:val="00B72FFD"/>
    <w:rsid w:val="00B7392D"/>
    <w:rsid w:val="00B74BD0"/>
    <w:rsid w:val="00B75057"/>
    <w:rsid w:val="00B752A4"/>
    <w:rsid w:val="00B75D90"/>
    <w:rsid w:val="00B764BF"/>
    <w:rsid w:val="00B76825"/>
    <w:rsid w:val="00B76CF1"/>
    <w:rsid w:val="00B777F2"/>
    <w:rsid w:val="00B779BB"/>
    <w:rsid w:val="00B77CC7"/>
    <w:rsid w:val="00B816E5"/>
    <w:rsid w:val="00B82123"/>
    <w:rsid w:val="00B824F1"/>
    <w:rsid w:val="00B825BB"/>
    <w:rsid w:val="00B829DF"/>
    <w:rsid w:val="00B82CD9"/>
    <w:rsid w:val="00B82D51"/>
    <w:rsid w:val="00B831AF"/>
    <w:rsid w:val="00B834FB"/>
    <w:rsid w:val="00B846B8"/>
    <w:rsid w:val="00B84A35"/>
    <w:rsid w:val="00B84A63"/>
    <w:rsid w:val="00B84A8E"/>
    <w:rsid w:val="00B84F48"/>
    <w:rsid w:val="00B8548C"/>
    <w:rsid w:val="00B854B4"/>
    <w:rsid w:val="00B855A5"/>
    <w:rsid w:val="00B85801"/>
    <w:rsid w:val="00B85989"/>
    <w:rsid w:val="00B85E2B"/>
    <w:rsid w:val="00B862AA"/>
    <w:rsid w:val="00B86AB9"/>
    <w:rsid w:val="00B8732D"/>
    <w:rsid w:val="00B8759D"/>
    <w:rsid w:val="00B87E61"/>
    <w:rsid w:val="00B9006C"/>
    <w:rsid w:val="00B90721"/>
    <w:rsid w:val="00B90788"/>
    <w:rsid w:val="00B90B7A"/>
    <w:rsid w:val="00B9136D"/>
    <w:rsid w:val="00B91B39"/>
    <w:rsid w:val="00B91CE1"/>
    <w:rsid w:val="00B91D7F"/>
    <w:rsid w:val="00B92685"/>
    <w:rsid w:val="00B92690"/>
    <w:rsid w:val="00B92DE9"/>
    <w:rsid w:val="00B92E59"/>
    <w:rsid w:val="00B93083"/>
    <w:rsid w:val="00B93537"/>
    <w:rsid w:val="00B9440E"/>
    <w:rsid w:val="00B952C8"/>
    <w:rsid w:val="00B9660F"/>
    <w:rsid w:val="00B96874"/>
    <w:rsid w:val="00B96896"/>
    <w:rsid w:val="00B971F0"/>
    <w:rsid w:val="00B972EF"/>
    <w:rsid w:val="00B97520"/>
    <w:rsid w:val="00B9775C"/>
    <w:rsid w:val="00B97DEA"/>
    <w:rsid w:val="00BA0018"/>
    <w:rsid w:val="00BA0295"/>
    <w:rsid w:val="00BA0481"/>
    <w:rsid w:val="00BA0BAC"/>
    <w:rsid w:val="00BA14CD"/>
    <w:rsid w:val="00BA1A26"/>
    <w:rsid w:val="00BA1A7C"/>
    <w:rsid w:val="00BA2413"/>
    <w:rsid w:val="00BA2468"/>
    <w:rsid w:val="00BA2872"/>
    <w:rsid w:val="00BA2EB5"/>
    <w:rsid w:val="00BA4D15"/>
    <w:rsid w:val="00BA4D42"/>
    <w:rsid w:val="00BA553B"/>
    <w:rsid w:val="00BA6200"/>
    <w:rsid w:val="00BA6AEB"/>
    <w:rsid w:val="00BA6DA1"/>
    <w:rsid w:val="00BA7402"/>
    <w:rsid w:val="00BA780D"/>
    <w:rsid w:val="00BA7DF3"/>
    <w:rsid w:val="00BB0444"/>
    <w:rsid w:val="00BB05E8"/>
    <w:rsid w:val="00BB15C3"/>
    <w:rsid w:val="00BB2054"/>
    <w:rsid w:val="00BB24F5"/>
    <w:rsid w:val="00BB26E6"/>
    <w:rsid w:val="00BB2F07"/>
    <w:rsid w:val="00BB3514"/>
    <w:rsid w:val="00BB3E28"/>
    <w:rsid w:val="00BB3E63"/>
    <w:rsid w:val="00BB55D2"/>
    <w:rsid w:val="00BB5C70"/>
    <w:rsid w:val="00BB5F9D"/>
    <w:rsid w:val="00BB638D"/>
    <w:rsid w:val="00BB63F4"/>
    <w:rsid w:val="00BB66FC"/>
    <w:rsid w:val="00BB6BDD"/>
    <w:rsid w:val="00BB6C18"/>
    <w:rsid w:val="00BB6F73"/>
    <w:rsid w:val="00BB7133"/>
    <w:rsid w:val="00BB71EE"/>
    <w:rsid w:val="00BB777F"/>
    <w:rsid w:val="00BB77F9"/>
    <w:rsid w:val="00BB795D"/>
    <w:rsid w:val="00BB798B"/>
    <w:rsid w:val="00BB7F23"/>
    <w:rsid w:val="00BC06A2"/>
    <w:rsid w:val="00BC06AD"/>
    <w:rsid w:val="00BC10EF"/>
    <w:rsid w:val="00BC1D45"/>
    <w:rsid w:val="00BC2AA4"/>
    <w:rsid w:val="00BC3275"/>
    <w:rsid w:val="00BC362D"/>
    <w:rsid w:val="00BC37BA"/>
    <w:rsid w:val="00BC4098"/>
    <w:rsid w:val="00BC4242"/>
    <w:rsid w:val="00BC46B7"/>
    <w:rsid w:val="00BC4B7D"/>
    <w:rsid w:val="00BC4EDD"/>
    <w:rsid w:val="00BC5225"/>
    <w:rsid w:val="00BC52A9"/>
    <w:rsid w:val="00BC5581"/>
    <w:rsid w:val="00BC5E0D"/>
    <w:rsid w:val="00BC6B1E"/>
    <w:rsid w:val="00BD02FC"/>
    <w:rsid w:val="00BD0F4F"/>
    <w:rsid w:val="00BD1450"/>
    <w:rsid w:val="00BD1DED"/>
    <w:rsid w:val="00BD30F3"/>
    <w:rsid w:val="00BD31FF"/>
    <w:rsid w:val="00BD33B4"/>
    <w:rsid w:val="00BD4FA9"/>
    <w:rsid w:val="00BD53B5"/>
    <w:rsid w:val="00BD5923"/>
    <w:rsid w:val="00BD5D2C"/>
    <w:rsid w:val="00BD716E"/>
    <w:rsid w:val="00BD7467"/>
    <w:rsid w:val="00BD773A"/>
    <w:rsid w:val="00BD7B03"/>
    <w:rsid w:val="00BE0101"/>
    <w:rsid w:val="00BE08E2"/>
    <w:rsid w:val="00BE0B11"/>
    <w:rsid w:val="00BE189D"/>
    <w:rsid w:val="00BE1A21"/>
    <w:rsid w:val="00BE1D5C"/>
    <w:rsid w:val="00BE1E0F"/>
    <w:rsid w:val="00BE2474"/>
    <w:rsid w:val="00BE272B"/>
    <w:rsid w:val="00BE29A6"/>
    <w:rsid w:val="00BE36B0"/>
    <w:rsid w:val="00BE3805"/>
    <w:rsid w:val="00BE39AE"/>
    <w:rsid w:val="00BE4287"/>
    <w:rsid w:val="00BE46B0"/>
    <w:rsid w:val="00BE4F11"/>
    <w:rsid w:val="00BE510C"/>
    <w:rsid w:val="00BE52BD"/>
    <w:rsid w:val="00BE6B7F"/>
    <w:rsid w:val="00BE6D43"/>
    <w:rsid w:val="00BF0BAF"/>
    <w:rsid w:val="00BF1151"/>
    <w:rsid w:val="00BF126E"/>
    <w:rsid w:val="00BF1532"/>
    <w:rsid w:val="00BF161D"/>
    <w:rsid w:val="00BF187A"/>
    <w:rsid w:val="00BF1CC8"/>
    <w:rsid w:val="00BF1EF7"/>
    <w:rsid w:val="00BF222A"/>
    <w:rsid w:val="00BF2317"/>
    <w:rsid w:val="00BF2EAF"/>
    <w:rsid w:val="00BF31AA"/>
    <w:rsid w:val="00BF38E6"/>
    <w:rsid w:val="00BF3E08"/>
    <w:rsid w:val="00BF4532"/>
    <w:rsid w:val="00BF54D4"/>
    <w:rsid w:val="00BF5A3D"/>
    <w:rsid w:val="00BF5AC5"/>
    <w:rsid w:val="00BF5AD8"/>
    <w:rsid w:val="00BF5DE5"/>
    <w:rsid w:val="00BF6D94"/>
    <w:rsid w:val="00BF721C"/>
    <w:rsid w:val="00BF782A"/>
    <w:rsid w:val="00BF7AD6"/>
    <w:rsid w:val="00BF7E58"/>
    <w:rsid w:val="00C001B4"/>
    <w:rsid w:val="00C00784"/>
    <w:rsid w:val="00C00AF0"/>
    <w:rsid w:val="00C0101E"/>
    <w:rsid w:val="00C01A0D"/>
    <w:rsid w:val="00C01F55"/>
    <w:rsid w:val="00C02029"/>
    <w:rsid w:val="00C0232D"/>
    <w:rsid w:val="00C025D0"/>
    <w:rsid w:val="00C03887"/>
    <w:rsid w:val="00C03B2F"/>
    <w:rsid w:val="00C03F79"/>
    <w:rsid w:val="00C045D1"/>
    <w:rsid w:val="00C04ED1"/>
    <w:rsid w:val="00C05B93"/>
    <w:rsid w:val="00C06183"/>
    <w:rsid w:val="00C0667B"/>
    <w:rsid w:val="00C067B5"/>
    <w:rsid w:val="00C06ECF"/>
    <w:rsid w:val="00C0798D"/>
    <w:rsid w:val="00C07CA3"/>
    <w:rsid w:val="00C10564"/>
    <w:rsid w:val="00C107EC"/>
    <w:rsid w:val="00C10A55"/>
    <w:rsid w:val="00C1168D"/>
    <w:rsid w:val="00C11748"/>
    <w:rsid w:val="00C11A2E"/>
    <w:rsid w:val="00C11B94"/>
    <w:rsid w:val="00C12C7E"/>
    <w:rsid w:val="00C12DE7"/>
    <w:rsid w:val="00C130DD"/>
    <w:rsid w:val="00C13222"/>
    <w:rsid w:val="00C13703"/>
    <w:rsid w:val="00C14993"/>
    <w:rsid w:val="00C155C5"/>
    <w:rsid w:val="00C15AA9"/>
    <w:rsid w:val="00C15E7A"/>
    <w:rsid w:val="00C17922"/>
    <w:rsid w:val="00C201D4"/>
    <w:rsid w:val="00C203D8"/>
    <w:rsid w:val="00C20886"/>
    <w:rsid w:val="00C20CFF"/>
    <w:rsid w:val="00C225E3"/>
    <w:rsid w:val="00C226DD"/>
    <w:rsid w:val="00C2285E"/>
    <w:rsid w:val="00C22A78"/>
    <w:rsid w:val="00C22F10"/>
    <w:rsid w:val="00C24220"/>
    <w:rsid w:val="00C24622"/>
    <w:rsid w:val="00C24BC9"/>
    <w:rsid w:val="00C250BC"/>
    <w:rsid w:val="00C2523B"/>
    <w:rsid w:val="00C252A6"/>
    <w:rsid w:val="00C25F0B"/>
    <w:rsid w:val="00C2606C"/>
    <w:rsid w:val="00C2624A"/>
    <w:rsid w:val="00C264B9"/>
    <w:rsid w:val="00C26A96"/>
    <w:rsid w:val="00C27012"/>
    <w:rsid w:val="00C306E2"/>
    <w:rsid w:val="00C3100A"/>
    <w:rsid w:val="00C31382"/>
    <w:rsid w:val="00C313B2"/>
    <w:rsid w:val="00C31427"/>
    <w:rsid w:val="00C31712"/>
    <w:rsid w:val="00C3195F"/>
    <w:rsid w:val="00C31AC0"/>
    <w:rsid w:val="00C31DF0"/>
    <w:rsid w:val="00C31E4A"/>
    <w:rsid w:val="00C3259E"/>
    <w:rsid w:val="00C3271B"/>
    <w:rsid w:val="00C329A7"/>
    <w:rsid w:val="00C32DC0"/>
    <w:rsid w:val="00C330F7"/>
    <w:rsid w:val="00C333B2"/>
    <w:rsid w:val="00C33A0E"/>
    <w:rsid w:val="00C33A99"/>
    <w:rsid w:val="00C34308"/>
    <w:rsid w:val="00C3437C"/>
    <w:rsid w:val="00C3461E"/>
    <w:rsid w:val="00C34907"/>
    <w:rsid w:val="00C34ECA"/>
    <w:rsid w:val="00C35BBC"/>
    <w:rsid w:val="00C360B2"/>
    <w:rsid w:val="00C360D1"/>
    <w:rsid w:val="00C36232"/>
    <w:rsid w:val="00C368AB"/>
    <w:rsid w:val="00C36999"/>
    <w:rsid w:val="00C369BC"/>
    <w:rsid w:val="00C36AFA"/>
    <w:rsid w:val="00C375F7"/>
    <w:rsid w:val="00C4019F"/>
    <w:rsid w:val="00C40323"/>
    <w:rsid w:val="00C404BD"/>
    <w:rsid w:val="00C4080C"/>
    <w:rsid w:val="00C40DB1"/>
    <w:rsid w:val="00C41264"/>
    <w:rsid w:val="00C4138D"/>
    <w:rsid w:val="00C41E2A"/>
    <w:rsid w:val="00C4250B"/>
    <w:rsid w:val="00C44354"/>
    <w:rsid w:val="00C4471A"/>
    <w:rsid w:val="00C44871"/>
    <w:rsid w:val="00C44E5A"/>
    <w:rsid w:val="00C45A89"/>
    <w:rsid w:val="00C45DFA"/>
    <w:rsid w:val="00C468B6"/>
    <w:rsid w:val="00C46C57"/>
    <w:rsid w:val="00C470E8"/>
    <w:rsid w:val="00C4732D"/>
    <w:rsid w:val="00C4777E"/>
    <w:rsid w:val="00C50683"/>
    <w:rsid w:val="00C50F4A"/>
    <w:rsid w:val="00C510A9"/>
    <w:rsid w:val="00C510C8"/>
    <w:rsid w:val="00C517AC"/>
    <w:rsid w:val="00C51823"/>
    <w:rsid w:val="00C51B71"/>
    <w:rsid w:val="00C525EF"/>
    <w:rsid w:val="00C526F2"/>
    <w:rsid w:val="00C527D5"/>
    <w:rsid w:val="00C528B5"/>
    <w:rsid w:val="00C52C7D"/>
    <w:rsid w:val="00C5330B"/>
    <w:rsid w:val="00C53433"/>
    <w:rsid w:val="00C536BE"/>
    <w:rsid w:val="00C5386E"/>
    <w:rsid w:val="00C53E4D"/>
    <w:rsid w:val="00C53F91"/>
    <w:rsid w:val="00C546DD"/>
    <w:rsid w:val="00C549F8"/>
    <w:rsid w:val="00C54B4D"/>
    <w:rsid w:val="00C54E4E"/>
    <w:rsid w:val="00C550B4"/>
    <w:rsid w:val="00C55707"/>
    <w:rsid w:val="00C5582E"/>
    <w:rsid w:val="00C5590C"/>
    <w:rsid w:val="00C56B0B"/>
    <w:rsid w:val="00C56C16"/>
    <w:rsid w:val="00C57095"/>
    <w:rsid w:val="00C57EDF"/>
    <w:rsid w:val="00C57FD1"/>
    <w:rsid w:val="00C60206"/>
    <w:rsid w:val="00C60783"/>
    <w:rsid w:val="00C608AF"/>
    <w:rsid w:val="00C60C90"/>
    <w:rsid w:val="00C60E19"/>
    <w:rsid w:val="00C60E72"/>
    <w:rsid w:val="00C61514"/>
    <w:rsid w:val="00C61734"/>
    <w:rsid w:val="00C61CEA"/>
    <w:rsid w:val="00C626CF"/>
    <w:rsid w:val="00C63862"/>
    <w:rsid w:val="00C63B71"/>
    <w:rsid w:val="00C63C7C"/>
    <w:rsid w:val="00C64201"/>
    <w:rsid w:val="00C648C4"/>
    <w:rsid w:val="00C653BB"/>
    <w:rsid w:val="00C65788"/>
    <w:rsid w:val="00C65D02"/>
    <w:rsid w:val="00C665E5"/>
    <w:rsid w:val="00C666D7"/>
    <w:rsid w:val="00C66F47"/>
    <w:rsid w:val="00C671E5"/>
    <w:rsid w:val="00C67BCA"/>
    <w:rsid w:val="00C704D1"/>
    <w:rsid w:val="00C70AC8"/>
    <w:rsid w:val="00C70D61"/>
    <w:rsid w:val="00C71157"/>
    <w:rsid w:val="00C714D8"/>
    <w:rsid w:val="00C71B0B"/>
    <w:rsid w:val="00C71D42"/>
    <w:rsid w:val="00C71DB9"/>
    <w:rsid w:val="00C72009"/>
    <w:rsid w:val="00C72284"/>
    <w:rsid w:val="00C72567"/>
    <w:rsid w:val="00C7288E"/>
    <w:rsid w:val="00C72B35"/>
    <w:rsid w:val="00C74787"/>
    <w:rsid w:val="00C74885"/>
    <w:rsid w:val="00C749D2"/>
    <w:rsid w:val="00C76C34"/>
    <w:rsid w:val="00C76C3F"/>
    <w:rsid w:val="00C776E2"/>
    <w:rsid w:val="00C777CD"/>
    <w:rsid w:val="00C77C9B"/>
    <w:rsid w:val="00C8013E"/>
    <w:rsid w:val="00C804BB"/>
    <w:rsid w:val="00C80ED6"/>
    <w:rsid w:val="00C81195"/>
    <w:rsid w:val="00C813BC"/>
    <w:rsid w:val="00C8210E"/>
    <w:rsid w:val="00C823C4"/>
    <w:rsid w:val="00C82DDD"/>
    <w:rsid w:val="00C831B7"/>
    <w:rsid w:val="00C84574"/>
    <w:rsid w:val="00C849C8"/>
    <w:rsid w:val="00C85995"/>
    <w:rsid w:val="00C85CEB"/>
    <w:rsid w:val="00C86208"/>
    <w:rsid w:val="00C86486"/>
    <w:rsid w:val="00C87F81"/>
    <w:rsid w:val="00C90115"/>
    <w:rsid w:val="00C90A72"/>
    <w:rsid w:val="00C90E66"/>
    <w:rsid w:val="00C91D4B"/>
    <w:rsid w:val="00C924BE"/>
    <w:rsid w:val="00C925BA"/>
    <w:rsid w:val="00C928A0"/>
    <w:rsid w:val="00C928EC"/>
    <w:rsid w:val="00C9290B"/>
    <w:rsid w:val="00C9404B"/>
    <w:rsid w:val="00C947DF"/>
    <w:rsid w:val="00C94896"/>
    <w:rsid w:val="00C963CB"/>
    <w:rsid w:val="00C96AE1"/>
    <w:rsid w:val="00C96F42"/>
    <w:rsid w:val="00C97596"/>
    <w:rsid w:val="00CA000D"/>
    <w:rsid w:val="00CA02EA"/>
    <w:rsid w:val="00CA158B"/>
    <w:rsid w:val="00CA15BC"/>
    <w:rsid w:val="00CA181F"/>
    <w:rsid w:val="00CA24C7"/>
    <w:rsid w:val="00CA2640"/>
    <w:rsid w:val="00CA2A54"/>
    <w:rsid w:val="00CA2DBE"/>
    <w:rsid w:val="00CA30C6"/>
    <w:rsid w:val="00CA32CD"/>
    <w:rsid w:val="00CA3427"/>
    <w:rsid w:val="00CA3D6A"/>
    <w:rsid w:val="00CA3EDE"/>
    <w:rsid w:val="00CA4502"/>
    <w:rsid w:val="00CA46F3"/>
    <w:rsid w:val="00CA4802"/>
    <w:rsid w:val="00CA5715"/>
    <w:rsid w:val="00CA5F2B"/>
    <w:rsid w:val="00CA6849"/>
    <w:rsid w:val="00CA751D"/>
    <w:rsid w:val="00CA76A6"/>
    <w:rsid w:val="00CA7993"/>
    <w:rsid w:val="00CA7BDA"/>
    <w:rsid w:val="00CB00F5"/>
    <w:rsid w:val="00CB1339"/>
    <w:rsid w:val="00CB153F"/>
    <w:rsid w:val="00CB165E"/>
    <w:rsid w:val="00CB188E"/>
    <w:rsid w:val="00CB1CCA"/>
    <w:rsid w:val="00CB2277"/>
    <w:rsid w:val="00CB2B8A"/>
    <w:rsid w:val="00CB2BE8"/>
    <w:rsid w:val="00CB2EB4"/>
    <w:rsid w:val="00CB2F14"/>
    <w:rsid w:val="00CB3FEB"/>
    <w:rsid w:val="00CB4BE2"/>
    <w:rsid w:val="00CB4C6A"/>
    <w:rsid w:val="00CB5E61"/>
    <w:rsid w:val="00CB6012"/>
    <w:rsid w:val="00CB6CB3"/>
    <w:rsid w:val="00CB6CBC"/>
    <w:rsid w:val="00CB742C"/>
    <w:rsid w:val="00CC0019"/>
    <w:rsid w:val="00CC016F"/>
    <w:rsid w:val="00CC0737"/>
    <w:rsid w:val="00CC0C08"/>
    <w:rsid w:val="00CC0FAE"/>
    <w:rsid w:val="00CC15DC"/>
    <w:rsid w:val="00CC1769"/>
    <w:rsid w:val="00CC1BBA"/>
    <w:rsid w:val="00CC1F60"/>
    <w:rsid w:val="00CC2391"/>
    <w:rsid w:val="00CC28AD"/>
    <w:rsid w:val="00CC2E19"/>
    <w:rsid w:val="00CC2F20"/>
    <w:rsid w:val="00CC320B"/>
    <w:rsid w:val="00CC3F04"/>
    <w:rsid w:val="00CC3F44"/>
    <w:rsid w:val="00CC4626"/>
    <w:rsid w:val="00CC47C0"/>
    <w:rsid w:val="00CC490E"/>
    <w:rsid w:val="00CC50A9"/>
    <w:rsid w:val="00CC5E0F"/>
    <w:rsid w:val="00CC63CE"/>
    <w:rsid w:val="00CC6AD8"/>
    <w:rsid w:val="00CC6BA7"/>
    <w:rsid w:val="00CC7358"/>
    <w:rsid w:val="00CC7EAC"/>
    <w:rsid w:val="00CD016F"/>
    <w:rsid w:val="00CD023C"/>
    <w:rsid w:val="00CD0BF7"/>
    <w:rsid w:val="00CD1337"/>
    <w:rsid w:val="00CD160A"/>
    <w:rsid w:val="00CD165E"/>
    <w:rsid w:val="00CD1F34"/>
    <w:rsid w:val="00CD213E"/>
    <w:rsid w:val="00CD449B"/>
    <w:rsid w:val="00CD53A7"/>
    <w:rsid w:val="00CD54A1"/>
    <w:rsid w:val="00CD5867"/>
    <w:rsid w:val="00CD5CC7"/>
    <w:rsid w:val="00CD5E01"/>
    <w:rsid w:val="00CD6111"/>
    <w:rsid w:val="00CD66E5"/>
    <w:rsid w:val="00CD6C37"/>
    <w:rsid w:val="00CD6E9D"/>
    <w:rsid w:val="00CD75AE"/>
    <w:rsid w:val="00CD7877"/>
    <w:rsid w:val="00CD78E4"/>
    <w:rsid w:val="00CD7956"/>
    <w:rsid w:val="00CE0EC0"/>
    <w:rsid w:val="00CE140A"/>
    <w:rsid w:val="00CE19D9"/>
    <w:rsid w:val="00CE23AC"/>
    <w:rsid w:val="00CE2AA7"/>
    <w:rsid w:val="00CE2D92"/>
    <w:rsid w:val="00CE3040"/>
    <w:rsid w:val="00CE3A73"/>
    <w:rsid w:val="00CE4162"/>
    <w:rsid w:val="00CE4671"/>
    <w:rsid w:val="00CE4A2A"/>
    <w:rsid w:val="00CE5126"/>
    <w:rsid w:val="00CE514B"/>
    <w:rsid w:val="00CE5442"/>
    <w:rsid w:val="00CE57CB"/>
    <w:rsid w:val="00CE5DD4"/>
    <w:rsid w:val="00CE5E09"/>
    <w:rsid w:val="00CE6B47"/>
    <w:rsid w:val="00CE723F"/>
    <w:rsid w:val="00CE73E1"/>
    <w:rsid w:val="00CE7AF5"/>
    <w:rsid w:val="00CF04CC"/>
    <w:rsid w:val="00CF0932"/>
    <w:rsid w:val="00CF1364"/>
    <w:rsid w:val="00CF1667"/>
    <w:rsid w:val="00CF1C2C"/>
    <w:rsid w:val="00CF2ADB"/>
    <w:rsid w:val="00CF2C3C"/>
    <w:rsid w:val="00CF2C7B"/>
    <w:rsid w:val="00CF2FC3"/>
    <w:rsid w:val="00CF3529"/>
    <w:rsid w:val="00CF3593"/>
    <w:rsid w:val="00CF3A79"/>
    <w:rsid w:val="00CF43BA"/>
    <w:rsid w:val="00CF4A75"/>
    <w:rsid w:val="00CF51B1"/>
    <w:rsid w:val="00CF6D6F"/>
    <w:rsid w:val="00CF76FF"/>
    <w:rsid w:val="00CF7D47"/>
    <w:rsid w:val="00D00815"/>
    <w:rsid w:val="00D009C2"/>
    <w:rsid w:val="00D01DED"/>
    <w:rsid w:val="00D020E4"/>
    <w:rsid w:val="00D02172"/>
    <w:rsid w:val="00D0262E"/>
    <w:rsid w:val="00D028CF"/>
    <w:rsid w:val="00D02C6E"/>
    <w:rsid w:val="00D02F65"/>
    <w:rsid w:val="00D030EF"/>
    <w:rsid w:val="00D0346E"/>
    <w:rsid w:val="00D038D9"/>
    <w:rsid w:val="00D03AA0"/>
    <w:rsid w:val="00D03D67"/>
    <w:rsid w:val="00D03DEA"/>
    <w:rsid w:val="00D04E53"/>
    <w:rsid w:val="00D04F2E"/>
    <w:rsid w:val="00D0500F"/>
    <w:rsid w:val="00D05079"/>
    <w:rsid w:val="00D0541D"/>
    <w:rsid w:val="00D05646"/>
    <w:rsid w:val="00D05666"/>
    <w:rsid w:val="00D072F2"/>
    <w:rsid w:val="00D1087B"/>
    <w:rsid w:val="00D10B72"/>
    <w:rsid w:val="00D10D56"/>
    <w:rsid w:val="00D10EFD"/>
    <w:rsid w:val="00D11386"/>
    <w:rsid w:val="00D117A5"/>
    <w:rsid w:val="00D12139"/>
    <w:rsid w:val="00D1219D"/>
    <w:rsid w:val="00D12AE4"/>
    <w:rsid w:val="00D12BC3"/>
    <w:rsid w:val="00D13C01"/>
    <w:rsid w:val="00D13DEB"/>
    <w:rsid w:val="00D14A37"/>
    <w:rsid w:val="00D14E9B"/>
    <w:rsid w:val="00D15618"/>
    <w:rsid w:val="00D15945"/>
    <w:rsid w:val="00D15BB2"/>
    <w:rsid w:val="00D16123"/>
    <w:rsid w:val="00D1687B"/>
    <w:rsid w:val="00D16CDC"/>
    <w:rsid w:val="00D16F49"/>
    <w:rsid w:val="00D16FEB"/>
    <w:rsid w:val="00D17D7A"/>
    <w:rsid w:val="00D207CA"/>
    <w:rsid w:val="00D214FE"/>
    <w:rsid w:val="00D21C5E"/>
    <w:rsid w:val="00D21C5F"/>
    <w:rsid w:val="00D21F59"/>
    <w:rsid w:val="00D22597"/>
    <w:rsid w:val="00D23744"/>
    <w:rsid w:val="00D23C71"/>
    <w:rsid w:val="00D241AC"/>
    <w:rsid w:val="00D243DF"/>
    <w:rsid w:val="00D244E4"/>
    <w:rsid w:val="00D24FEB"/>
    <w:rsid w:val="00D251DF"/>
    <w:rsid w:val="00D252E2"/>
    <w:rsid w:val="00D252F0"/>
    <w:rsid w:val="00D2676D"/>
    <w:rsid w:val="00D26A0E"/>
    <w:rsid w:val="00D26D1C"/>
    <w:rsid w:val="00D26F58"/>
    <w:rsid w:val="00D271FC"/>
    <w:rsid w:val="00D306AA"/>
    <w:rsid w:val="00D313F6"/>
    <w:rsid w:val="00D31B7B"/>
    <w:rsid w:val="00D31BEE"/>
    <w:rsid w:val="00D3286F"/>
    <w:rsid w:val="00D32A08"/>
    <w:rsid w:val="00D331E8"/>
    <w:rsid w:val="00D34BE1"/>
    <w:rsid w:val="00D34EB5"/>
    <w:rsid w:val="00D35E03"/>
    <w:rsid w:val="00D3640C"/>
    <w:rsid w:val="00D36795"/>
    <w:rsid w:val="00D37A3E"/>
    <w:rsid w:val="00D37E0B"/>
    <w:rsid w:val="00D40961"/>
    <w:rsid w:val="00D41AB1"/>
    <w:rsid w:val="00D42859"/>
    <w:rsid w:val="00D43D1A"/>
    <w:rsid w:val="00D44EC4"/>
    <w:rsid w:val="00D451AA"/>
    <w:rsid w:val="00D459B3"/>
    <w:rsid w:val="00D460F9"/>
    <w:rsid w:val="00D46278"/>
    <w:rsid w:val="00D465B4"/>
    <w:rsid w:val="00D47028"/>
    <w:rsid w:val="00D474A9"/>
    <w:rsid w:val="00D47721"/>
    <w:rsid w:val="00D47847"/>
    <w:rsid w:val="00D47ADC"/>
    <w:rsid w:val="00D5026B"/>
    <w:rsid w:val="00D50541"/>
    <w:rsid w:val="00D505CD"/>
    <w:rsid w:val="00D50E6B"/>
    <w:rsid w:val="00D50FE3"/>
    <w:rsid w:val="00D5158E"/>
    <w:rsid w:val="00D521F0"/>
    <w:rsid w:val="00D5257F"/>
    <w:rsid w:val="00D52816"/>
    <w:rsid w:val="00D532EA"/>
    <w:rsid w:val="00D547AA"/>
    <w:rsid w:val="00D55CDA"/>
    <w:rsid w:val="00D55D62"/>
    <w:rsid w:val="00D56202"/>
    <w:rsid w:val="00D56396"/>
    <w:rsid w:val="00D57A25"/>
    <w:rsid w:val="00D57C20"/>
    <w:rsid w:val="00D57C4A"/>
    <w:rsid w:val="00D60BA8"/>
    <w:rsid w:val="00D60C32"/>
    <w:rsid w:val="00D60F73"/>
    <w:rsid w:val="00D61640"/>
    <w:rsid w:val="00D61898"/>
    <w:rsid w:val="00D61D7D"/>
    <w:rsid w:val="00D621CC"/>
    <w:rsid w:val="00D62366"/>
    <w:rsid w:val="00D62410"/>
    <w:rsid w:val="00D62B6D"/>
    <w:rsid w:val="00D63293"/>
    <w:rsid w:val="00D63713"/>
    <w:rsid w:val="00D63AC2"/>
    <w:rsid w:val="00D63B78"/>
    <w:rsid w:val="00D63CFD"/>
    <w:rsid w:val="00D640EF"/>
    <w:rsid w:val="00D650E0"/>
    <w:rsid w:val="00D65404"/>
    <w:rsid w:val="00D66DF8"/>
    <w:rsid w:val="00D670B3"/>
    <w:rsid w:val="00D67765"/>
    <w:rsid w:val="00D6790C"/>
    <w:rsid w:val="00D67ED0"/>
    <w:rsid w:val="00D67FD8"/>
    <w:rsid w:val="00D703A9"/>
    <w:rsid w:val="00D70425"/>
    <w:rsid w:val="00D70711"/>
    <w:rsid w:val="00D70FAC"/>
    <w:rsid w:val="00D7156D"/>
    <w:rsid w:val="00D717AE"/>
    <w:rsid w:val="00D71ABB"/>
    <w:rsid w:val="00D722DE"/>
    <w:rsid w:val="00D722E8"/>
    <w:rsid w:val="00D7258E"/>
    <w:rsid w:val="00D725A1"/>
    <w:rsid w:val="00D72847"/>
    <w:rsid w:val="00D728EE"/>
    <w:rsid w:val="00D72A66"/>
    <w:rsid w:val="00D72BB4"/>
    <w:rsid w:val="00D7303E"/>
    <w:rsid w:val="00D730D1"/>
    <w:rsid w:val="00D733D3"/>
    <w:rsid w:val="00D74818"/>
    <w:rsid w:val="00D74CE0"/>
    <w:rsid w:val="00D74F75"/>
    <w:rsid w:val="00D74FDB"/>
    <w:rsid w:val="00D7560C"/>
    <w:rsid w:val="00D75616"/>
    <w:rsid w:val="00D75633"/>
    <w:rsid w:val="00D759D7"/>
    <w:rsid w:val="00D759FC"/>
    <w:rsid w:val="00D75AA5"/>
    <w:rsid w:val="00D75D88"/>
    <w:rsid w:val="00D76172"/>
    <w:rsid w:val="00D761B1"/>
    <w:rsid w:val="00D769F5"/>
    <w:rsid w:val="00D76E2E"/>
    <w:rsid w:val="00D770C5"/>
    <w:rsid w:val="00D77160"/>
    <w:rsid w:val="00D77406"/>
    <w:rsid w:val="00D779AD"/>
    <w:rsid w:val="00D77FE8"/>
    <w:rsid w:val="00D80C0B"/>
    <w:rsid w:val="00D80F63"/>
    <w:rsid w:val="00D81268"/>
    <w:rsid w:val="00D8149D"/>
    <w:rsid w:val="00D81E45"/>
    <w:rsid w:val="00D82294"/>
    <w:rsid w:val="00D8265C"/>
    <w:rsid w:val="00D82C07"/>
    <w:rsid w:val="00D82F6C"/>
    <w:rsid w:val="00D83035"/>
    <w:rsid w:val="00D833FE"/>
    <w:rsid w:val="00D83A3A"/>
    <w:rsid w:val="00D83CA1"/>
    <w:rsid w:val="00D847AD"/>
    <w:rsid w:val="00D868FB"/>
    <w:rsid w:val="00D86937"/>
    <w:rsid w:val="00D86E5E"/>
    <w:rsid w:val="00D90921"/>
    <w:rsid w:val="00D91A33"/>
    <w:rsid w:val="00D91EBD"/>
    <w:rsid w:val="00D9283F"/>
    <w:rsid w:val="00D92952"/>
    <w:rsid w:val="00D92E61"/>
    <w:rsid w:val="00D931E1"/>
    <w:rsid w:val="00D935C5"/>
    <w:rsid w:val="00D93D69"/>
    <w:rsid w:val="00D94269"/>
    <w:rsid w:val="00D957C4"/>
    <w:rsid w:val="00D95846"/>
    <w:rsid w:val="00D96D18"/>
    <w:rsid w:val="00D971A9"/>
    <w:rsid w:val="00D971B6"/>
    <w:rsid w:val="00D9728F"/>
    <w:rsid w:val="00D97368"/>
    <w:rsid w:val="00D97BE3"/>
    <w:rsid w:val="00DA0020"/>
    <w:rsid w:val="00DA0271"/>
    <w:rsid w:val="00DA04FE"/>
    <w:rsid w:val="00DA0633"/>
    <w:rsid w:val="00DA110A"/>
    <w:rsid w:val="00DA1155"/>
    <w:rsid w:val="00DA182A"/>
    <w:rsid w:val="00DA1916"/>
    <w:rsid w:val="00DA19E4"/>
    <w:rsid w:val="00DA246B"/>
    <w:rsid w:val="00DA281B"/>
    <w:rsid w:val="00DA29F2"/>
    <w:rsid w:val="00DA2AED"/>
    <w:rsid w:val="00DA2C93"/>
    <w:rsid w:val="00DA326D"/>
    <w:rsid w:val="00DA33EE"/>
    <w:rsid w:val="00DA363C"/>
    <w:rsid w:val="00DA368F"/>
    <w:rsid w:val="00DA3719"/>
    <w:rsid w:val="00DA3E22"/>
    <w:rsid w:val="00DA3E67"/>
    <w:rsid w:val="00DA40F9"/>
    <w:rsid w:val="00DA4707"/>
    <w:rsid w:val="00DA53D3"/>
    <w:rsid w:val="00DA5717"/>
    <w:rsid w:val="00DA5973"/>
    <w:rsid w:val="00DA5B0A"/>
    <w:rsid w:val="00DA5D2B"/>
    <w:rsid w:val="00DA5DE7"/>
    <w:rsid w:val="00DA61A4"/>
    <w:rsid w:val="00DA6981"/>
    <w:rsid w:val="00DB029D"/>
    <w:rsid w:val="00DB02AD"/>
    <w:rsid w:val="00DB1341"/>
    <w:rsid w:val="00DB174D"/>
    <w:rsid w:val="00DB18BA"/>
    <w:rsid w:val="00DB2098"/>
    <w:rsid w:val="00DB3D53"/>
    <w:rsid w:val="00DB429B"/>
    <w:rsid w:val="00DB4766"/>
    <w:rsid w:val="00DB4B1F"/>
    <w:rsid w:val="00DB4F87"/>
    <w:rsid w:val="00DB5533"/>
    <w:rsid w:val="00DB5D4C"/>
    <w:rsid w:val="00DB6DB0"/>
    <w:rsid w:val="00DB6DFB"/>
    <w:rsid w:val="00DB6FAE"/>
    <w:rsid w:val="00DB7307"/>
    <w:rsid w:val="00DB76DA"/>
    <w:rsid w:val="00DB7908"/>
    <w:rsid w:val="00DB7AAD"/>
    <w:rsid w:val="00DB7AF6"/>
    <w:rsid w:val="00DC0056"/>
    <w:rsid w:val="00DC00A1"/>
    <w:rsid w:val="00DC09F8"/>
    <w:rsid w:val="00DC1BC1"/>
    <w:rsid w:val="00DC2495"/>
    <w:rsid w:val="00DC24C8"/>
    <w:rsid w:val="00DC2510"/>
    <w:rsid w:val="00DC2806"/>
    <w:rsid w:val="00DC33BE"/>
    <w:rsid w:val="00DC3B81"/>
    <w:rsid w:val="00DC4BF8"/>
    <w:rsid w:val="00DC4DE9"/>
    <w:rsid w:val="00DC55D0"/>
    <w:rsid w:val="00DC56D1"/>
    <w:rsid w:val="00DC56FC"/>
    <w:rsid w:val="00DC5DA9"/>
    <w:rsid w:val="00DC5E8B"/>
    <w:rsid w:val="00DC5EB3"/>
    <w:rsid w:val="00DC60CA"/>
    <w:rsid w:val="00DC6886"/>
    <w:rsid w:val="00DC6C08"/>
    <w:rsid w:val="00DC7E63"/>
    <w:rsid w:val="00DD055B"/>
    <w:rsid w:val="00DD2840"/>
    <w:rsid w:val="00DD2F47"/>
    <w:rsid w:val="00DD3132"/>
    <w:rsid w:val="00DD34EF"/>
    <w:rsid w:val="00DD3A36"/>
    <w:rsid w:val="00DD3AEB"/>
    <w:rsid w:val="00DD4944"/>
    <w:rsid w:val="00DD5BFA"/>
    <w:rsid w:val="00DD6BCF"/>
    <w:rsid w:val="00DD6CA7"/>
    <w:rsid w:val="00DD752C"/>
    <w:rsid w:val="00DD7770"/>
    <w:rsid w:val="00DD7C52"/>
    <w:rsid w:val="00DE00B3"/>
    <w:rsid w:val="00DE014A"/>
    <w:rsid w:val="00DE07F1"/>
    <w:rsid w:val="00DE0D76"/>
    <w:rsid w:val="00DE110F"/>
    <w:rsid w:val="00DE1FF8"/>
    <w:rsid w:val="00DE20DC"/>
    <w:rsid w:val="00DE25D7"/>
    <w:rsid w:val="00DE2892"/>
    <w:rsid w:val="00DE2CDB"/>
    <w:rsid w:val="00DE3193"/>
    <w:rsid w:val="00DE323F"/>
    <w:rsid w:val="00DE35A1"/>
    <w:rsid w:val="00DE4556"/>
    <w:rsid w:val="00DE4B21"/>
    <w:rsid w:val="00DE4F96"/>
    <w:rsid w:val="00DE58CC"/>
    <w:rsid w:val="00DE65DB"/>
    <w:rsid w:val="00DE6618"/>
    <w:rsid w:val="00DE6B87"/>
    <w:rsid w:val="00DE7355"/>
    <w:rsid w:val="00DE7415"/>
    <w:rsid w:val="00DE746B"/>
    <w:rsid w:val="00DE75EE"/>
    <w:rsid w:val="00DF0346"/>
    <w:rsid w:val="00DF08FB"/>
    <w:rsid w:val="00DF0A05"/>
    <w:rsid w:val="00DF1EF0"/>
    <w:rsid w:val="00DF208E"/>
    <w:rsid w:val="00DF3394"/>
    <w:rsid w:val="00DF56AC"/>
    <w:rsid w:val="00DF68BC"/>
    <w:rsid w:val="00DF6CD1"/>
    <w:rsid w:val="00DF79AD"/>
    <w:rsid w:val="00DF7ADB"/>
    <w:rsid w:val="00E001F4"/>
    <w:rsid w:val="00E0056A"/>
    <w:rsid w:val="00E00F75"/>
    <w:rsid w:val="00E01FEF"/>
    <w:rsid w:val="00E020E5"/>
    <w:rsid w:val="00E02C98"/>
    <w:rsid w:val="00E03380"/>
    <w:rsid w:val="00E03711"/>
    <w:rsid w:val="00E0431E"/>
    <w:rsid w:val="00E044A3"/>
    <w:rsid w:val="00E04522"/>
    <w:rsid w:val="00E04D6A"/>
    <w:rsid w:val="00E052D6"/>
    <w:rsid w:val="00E05785"/>
    <w:rsid w:val="00E05A34"/>
    <w:rsid w:val="00E05A7A"/>
    <w:rsid w:val="00E05B7D"/>
    <w:rsid w:val="00E07010"/>
    <w:rsid w:val="00E07468"/>
    <w:rsid w:val="00E07D7C"/>
    <w:rsid w:val="00E07FFA"/>
    <w:rsid w:val="00E10162"/>
    <w:rsid w:val="00E1199F"/>
    <w:rsid w:val="00E11F89"/>
    <w:rsid w:val="00E11FC1"/>
    <w:rsid w:val="00E125FC"/>
    <w:rsid w:val="00E128D0"/>
    <w:rsid w:val="00E13266"/>
    <w:rsid w:val="00E13577"/>
    <w:rsid w:val="00E13B82"/>
    <w:rsid w:val="00E13C4C"/>
    <w:rsid w:val="00E1408D"/>
    <w:rsid w:val="00E14AA9"/>
    <w:rsid w:val="00E14D1B"/>
    <w:rsid w:val="00E14D4A"/>
    <w:rsid w:val="00E1542C"/>
    <w:rsid w:val="00E15941"/>
    <w:rsid w:val="00E15E35"/>
    <w:rsid w:val="00E15EE7"/>
    <w:rsid w:val="00E168D0"/>
    <w:rsid w:val="00E16A89"/>
    <w:rsid w:val="00E1742B"/>
    <w:rsid w:val="00E1743F"/>
    <w:rsid w:val="00E177F4"/>
    <w:rsid w:val="00E17D71"/>
    <w:rsid w:val="00E17F25"/>
    <w:rsid w:val="00E20022"/>
    <w:rsid w:val="00E20ABD"/>
    <w:rsid w:val="00E20C58"/>
    <w:rsid w:val="00E20F8B"/>
    <w:rsid w:val="00E218F6"/>
    <w:rsid w:val="00E22275"/>
    <w:rsid w:val="00E223EF"/>
    <w:rsid w:val="00E226C9"/>
    <w:rsid w:val="00E22A56"/>
    <w:rsid w:val="00E230BC"/>
    <w:rsid w:val="00E237C3"/>
    <w:rsid w:val="00E23DDF"/>
    <w:rsid w:val="00E24BAF"/>
    <w:rsid w:val="00E24D42"/>
    <w:rsid w:val="00E24F5D"/>
    <w:rsid w:val="00E26F62"/>
    <w:rsid w:val="00E271CC"/>
    <w:rsid w:val="00E302E2"/>
    <w:rsid w:val="00E3039B"/>
    <w:rsid w:val="00E30B6F"/>
    <w:rsid w:val="00E3112D"/>
    <w:rsid w:val="00E31AF4"/>
    <w:rsid w:val="00E31BC1"/>
    <w:rsid w:val="00E32486"/>
    <w:rsid w:val="00E32732"/>
    <w:rsid w:val="00E333C4"/>
    <w:rsid w:val="00E33787"/>
    <w:rsid w:val="00E33955"/>
    <w:rsid w:val="00E346F1"/>
    <w:rsid w:val="00E3478D"/>
    <w:rsid w:val="00E349A8"/>
    <w:rsid w:val="00E34DD7"/>
    <w:rsid w:val="00E34F2C"/>
    <w:rsid w:val="00E34FF3"/>
    <w:rsid w:val="00E35732"/>
    <w:rsid w:val="00E361DB"/>
    <w:rsid w:val="00E36539"/>
    <w:rsid w:val="00E37840"/>
    <w:rsid w:val="00E40B23"/>
    <w:rsid w:val="00E40EC6"/>
    <w:rsid w:val="00E40EDD"/>
    <w:rsid w:val="00E41B7C"/>
    <w:rsid w:val="00E41EDC"/>
    <w:rsid w:val="00E422ED"/>
    <w:rsid w:val="00E42A8D"/>
    <w:rsid w:val="00E4330D"/>
    <w:rsid w:val="00E435BB"/>
    <w:rsid w:val="00E441D6"/>
    <w:rsid w:val="00E44E69"/>
    <w:rsid w:val="00E4528F"/>
    <w:rsid w:val="00E453D6"/>
    <w:rsid w:val="00E4549A"/>
    <w:rsid w:val="00E458F7"/>
    <w:rsid w:val="00E45FD0"/>
    <w:rsid w:val="00E45FFC"/>
    <w:rsid w:val="00E4695C"/>
    <w:rsid w:val="00E46A1C"/>
    <w:rsid w:val="00E46BB6"/>
    <w:rsid w:val="00E4733B"/>
    <w:rsid w:val="00E47A25"/>
    <w:rsid w:val="00E47E59"/>
    <w:rsid w:val="00E5007C"/>
    <w:rsid w:val="00E516B0"/>
    <w:rsid w:val="00E51C83"/>
    <w:rsid w:val="00E51D72"/>
    <w:rsid w:val="00E52011"/>
    <w:rsid w:val="00E52539"/>
    <w:rsid w:val="00E52804"/>
    <w:rsid w:val="00E529D3"/>
    <w:rsid w:val="00E535A8"/>
    <w:rsid w:val="00E53F78"/>
    <w:rsid w:val="00E540B7"/>
    <w:rsid w:val="00E54164"/>
    <w:rsid w:val="00E5434B"/>
    <w:rsid w:val="00E54796"/>
    <w:rsid w:val="00E55361"/>
    <w:rsid w:val="00E55603"/>
    <w:rsid w:val="00E55778"/>
    <w:rsid w:val="00E55ABD"/>
    <w:rsid w:val="00E55F22"/>
    <w:rsid w:val="00E56362"/>
    <w:rsid w:val="00E56A6F"/>
    <w:rsid w:val="00E5740F"/>
    <w:rsid w:val="00E574FC"/>
    <w:rsid w:val="00E57A33"/>
    <w:rsid w:val="00E57CFA"/>
    <w:rsid w:val="00E609A8"/>
    <w:rsid w:val="00E61221"/>
    <w:rsid w:val="00E616EB"/>
    <w:rsid w:val="00E618AA"/>
    <w:rsid w:val="00E61CC5"/>
    <w:rsid w:val="00E61FB8"/>
    <w:rsid w:val="00E62638"/>
    <w:rsid w:val="00E62B43"/>
    <w:rsid w:val="00E62B47"/>
    <w:rsid w:val="00E633DC"/>
    <w:rsid w:val="00E63755"/>
    <w:rsid w:val="00E63EDC"/>
    <w:rsid w:val="00E64AB5"/>
    <w:rsid w:val="00E64F91"/>
    <w:rsid w:val="00E65146"/>
    <w:rsid w:val="00E65AF3"/>
    <w:rsid w:val="00E65B1D"/>
    <w:rsid w:val="00E65DD5"/>
    <w:rsid w:val="00E6633A"/>
    <w:rsid w:val="00E66651"/>
    <w:rsid w:val="00E66AFA"/>
    <w:rsid w:val="00E67343"/>
    <w:rsid w:val="00E678CB"/>
    <w:rsid w:val="00E67A67"/>
    <w:rsid w:val="00E701BB"/>
    <w:rsid w:val="00E7035F"/>
    <w:rsid w:val="00E705E5"/>
    <w:rsid w:val="00E70D2B"/>
    <w:rsid w:val="00E716D3"/>
    <w:rsid w:val="00E71AC2"/>
    <w:rsid w:val="00E71C1B"/>
    <w:rsid w:val="00E72B63"/>
    <w:rsid w:val="00E72E5D"/>
    <w:rsid w:val="00E72F3C"/>
    <w:rsid w:val="00E74566"/>
    <w:rsid w:val="00E75CFB"/>
    <w:rsid w:val="00E760FE"/>
    <w:rsid w:val="00E7618C"/>
    <w:rsid w:val="00E767E1"/>
    <w:rsid w:val="00E77272"/>
    <w:rsid w:val="00E77753"/>
    <w:rsid w:val="00E77975"/>
    <w:rsid w:val="00E77EBD"/>
    <w:rsid w:val="00E800A2"/>
    <w:rsid w:val="00E81898"/>
    <w:rsid w:val="00E82E54"/>
    <w:rsid w:val="00E82E6F"/>
    <w:rsid w:val="00E83BE4"/>
    <w:rsid w:val="00E83D26"/>
    <w:rsid w:val="00E8484F"/>
    <w:rsid w:val="00E849DE"/>
    <w:rsid w:val="00E84AB6"/>
    <w:rsid w:val="00E84FBE"/>
    <w:rsid w:val="00E85083"/>
    <w:rsid w:val="00E8610B"/>
    <w:rsid w:val="00E86160"/>
    <w:rsid w:val="00E8621B"/>
    <w:rsid w:val="00E901DB"/>
    <w:rsid w:val="00E902BB"/>
    <w:rsid w:val="00E91554"/>
    <w:rsid w:val="00E91FC7"/>
    <w:rsid w:val="00E92399"/>
    <w:rsid w:val="00E9289A"/>
    <w:rsid w:val="00E92AD4"/>
    <w:rsid w:val="00E92DDA"/>
    <w:rsid w:val="00E931F6"/>
    <w:rsid w:val="00E93325"/>
    <w:rsid w:val="00E93DD0"/>
    <w:rsid w:val="00E940D9"/>
    <w:rsid w:val="00E94FF5"/>
    <w:rsid w:val="00E95050"/>
    <w:rsid w:val="00E951CE"/>
    <w:rsid w:val="00E95A3A"/>
    <w:rsid w:val="00E96525"/>
    <w:rsid w:val="00E96D18"/>
    <w:rsid w:val="00E9728F"/>
    <w:rsid w:val="00E97643"/>
    <w:rsid w:val="00E977D0"/>
    <w:rsid w:val="00E97C50"/>
    <w:rsid w:val="00E97E80"/>
    <w:rsid w:val="00EA0457"/>
    <w:rsid w:val="00EA073E"/>
    <w:rsid w:val="00EA106E"/>
    <w:rsid w:val="00EA1824"/>
    <w:rsid w:val="00EA3C39"/>
    <w:rsid w:val="00EA41EA"/>
    <w:rsid w:val="00EA44AD"/>
    <w:rsid w:val="00EA49D4"/>
    <w:rsid w:val="00EA591A"/>
    <w:rsid w:val="00EA7164"/>
    <w:rsid w:val="00EA750D"/>
    <w:rsid w:val="00EA7512"/>
    <w:rsid w:val="00EB032D"/>
    <w:rsid w:val="00EB06EE"/>
    <w:rsid w:val="00EB077C"/>
    <w:rsid w:val="00EB08C5"/>
    <w:rsid w:val="00EB1331"/>
    <w:rsid w:val="00EB1881"/>
    <w:rsid w:val="00EB1970"/>
    <w:rsid w:val="00EB1DCC"/>
    <w:rsid w:val="00EB24A0"/>
    <w:rsid w:val="00EB27AC"/>
    <w:rsid w:val="00EB2E00"/>
    <w:rsid w:val="00EB31DA"/>
    <w:rsid w:val="00EB3AD6"/>
    <w:rsid w:val="00EB3F8D"/>
    <w:rsid w:val="00EB469F"/>
    <w:rsid w:val="00EB508F"/>
    <w:rsid w:val="00EB51F3"/>
    <w:rsid w:val="00EB54EB"/>
    <w:rsid w:val="00EB5594"/>
    <w:rsid w:val="00EB5CE9"/>
    <w:rsid w:val="00EB60C4"/>
    <w:rsid w:val="00EB6DC3"/>
    <w:rsid w:val="00EB730D"/>
    <w:rsid w:val="00EB7F5B"/>
    <w:rsid w:val="00EB7FB3"/>
    <w:rsid w:val="00EC26F1"/>
    <w:rsid w:val="00EC432E"/>
    <w:rsid w:val="00EC5378"/>
    <w:rsid w:val="00EC5F81"/>
    <w:rsid w:val="00EC6409"/>
    <w:rsid w:val="00EC7436"/>
    <w:rsid w:val="00EC764C"/>
    <w:rsid w:val="00EC7D95"/>
    <w:rsid w:val="00EC7E00"/>
    <w:rsid w:val="00ED0824"/>
    <w:rsid w:val="00ED194F"/>
    <w:rsid w:val="00ED1FF9"/>
    <w:rsid w:val="00ED2439"/>
    <w:rsid w:val="00ED3317"/>
    <w:rsid w:val="00ED335C"/>
    <w:rsid w:val="00ED3484"/>
    <w:rsid w:val="00ED3DFB"/>
    <w:rsid w:val="00ED40DA"/>
    <w:rsid w:val="00ED4325"/>
    <w:rsid w:val="00ED433E"/>
    <w:rsid w:val="00ED44A0"/>
    <w:rsid w:val="00ED48AA"/>
    <w:rsid w:val="00ED5469"/>
    <w:rsid w:val="00ED5BB9"/>
    <w:rsid w:val="00ED5BCB"/>
    <w:rsid w:val="00ED5CA5"/>
    <w:rsid w:val="00ED5D6C"/>
    <w:rsid w:val="00ED69A5"/>
    <w:rsid w:val="00ED7035"/>
    <w:rsid w:val="00ED7267"/>
    <w:rsid w:val="00ED74F7"/>
    <w:rsid w:val="00ED762E"/>
    <w:rsid w:val="00EE0097"/>
    <w:rsid w:val="00EE017E"/>
    <w:rsid w:val="00EE08E9"/>
    <w:rsid w:val="00EE0A96"/>
    <w:rsid w:val="00EE0BE5"/>
    <w:rsid w:val="00EE0E8B"/>
    <w:rsid w:val="00EE1058"/>
    <w:rsid w:val="00EE1276"/>
    <w:rsid w:val="00EE15AD"/>
    <w:rsid w:val="00EE17A6"/>
    <w:rsid w:val="00EE193C"/>
    <w:rsid w:val="00EE19F4"/>
    <w:rsid w:val="00EE1AC5"/>
    <w:rsid w:val="00EE1B60"/>
    <w:rsid w:val="00EE223F"/>
    <w:rsid w:val="00EE3373"/>
    <w:rsid w:val="00EE33CE"/>
    <w:rsid w:val="00EE3495"/>
    <w:rsid w:val="00EE358D"/>
    <w:rsid w:val="00EE3D69"/>
    <w:rsid w:val="00EE4722"/>
    <w:rsid w:val="00EE4840"/>
    <w:rsid w:val="00EE53F4"/>
    <w:rsid w:val="00EE5A84"/>
    <w:rsid w:val="00EE5B07"/>
    <w:rsid w:val="00EE5B4E"/>
    <w:rsid w:val="00EE621B"/>
    <w:rsid w:val="00EE70C8"/>
    <w:rsid w:val="00EE7171"/>
    <w:rsid w:val="00EE71D3"/>
    <w:rsid w:val="00EE725E"/>
    <w:rsid w:val="00EE749F"/>
    <w:rsid w:val="00EE758C"/>
    <w:rsid w:val="00EE783B"/>
    <w:rsid w:val="00EF008D"/>
    <w:rsid w:val="00EF0BA7"/>
    <w:rsid w:val="00EF0BE9"/>
    <w:rsid w:val="00EF0D74"/>
    <w:rsid w:val="00EF12C1"/>
    <w:rsid w:val="00EF1763"/>
    <w:rsid w:val="00EF1C3F"/>
    <w:rsid w:val="00EF1F72"/>
    <w:rsid w:val="00EF22CE"/>
    <w:rsid w:val="00EF24F1"/>
    <w:rsid w:val="00EF2548"/>
    <w:rsid w:val="00EF273D"/>
    <w:rsid w:val="00EF2AD3"/>
    <w:rsid w:val="00EF2EAF"/>
    <w:rsid w:val="00EF31C9"/>
    <w:rsid w:val="00EF3E0B"/>
    <w:rsid w:val="00EF3E86"/>
    <w:rsid w:val="00EF5692"/>
    <w:rsid w:val="00EF5982"/>
    <w:rsid w:val="00EF5F8D"/>
    <w:rsid w:val="00EF6521"/>
    <w:rsid w:val="00EF6741"/>
    <w:rsid w:val="00EF6A69"/>
    <w:rsid w:val="00EF77DF"/>
    <w:rsid w:val="00EF7D79"/>
    <w:rsid w:val="00EF7E0E"/>
    <w:rsid w:val="00F007D6"/>
    <w:rsid w:val="00F008AF"/>
    <w:rsid w:val="00F00ADF"/>
    <w:rsid w:val="00F0141B"/>
    <w:rsid w:val="00F01A60"/>
    <w:rsid w:val="00F01E0A"/>
    <w:rsid w:val="00F01F1B"/>
    <w:rsid w:val="00F020A6"/>
    <w:rsid w:val="00F0284A"/>
    <w:rsid w:val="00F02952"/>
    <w:rsid w:val="00F0296F"/>
    <w:rsid w:val="00F02E32"/>
    <w:rsid w:val="00F02F21"/>
    <w:rsid w:val="00F02FE9"/>
    <w:rsid w:val="00F03198"/>
    <w:rsid w:val="00F03726"/>
    <w:rsid w:val="00F03C8B"/>
    <w:rsid w:val="00F04CF3"/>
    <w:rsid w:val="00F058EC"/>
    <w:rsid w:val="00F05B34"/>
    <w:rsid w:val="00F06A4B"/>
    <w:rsid w:val="00F07587"/>
    <w:rsid w:val="00F079F4"/>
    <w:rsid w:val="00F1081B"/>
    <w:rsid w:val="00F11168"/>
    <w:rsid w:val="00F11240"/>
    <w:rsid w:val="00F11D4B"/>
    <w:rsid w:val="00F125CB"/>
    <w:rsid w:val="00F12858"/>
    <w:rsid w:val="00F134B3"/>
    <w:rsid w:val="00F1376A"/>
    <w:rsid w:val="00F13DDE"/>
    <w:rsid w:val="00F14918"/>
    <w:rsid w:val="00F14C21"/>
    <w:rsid w:val="00F14DB2"/>
    <w:rsid w:val="00F151D3"/>
    <w:rsid w:val="00F1532A"/>
    <w:rsid w:val="00F1547A"/>
    <w:rsid w:val="00F15C49"/>
    <w:rsid w:val="00F165F2"/>
    <w:rsid w:val="00F1756B"/>
    <w:rsid w:val="00F17660"/>
    <w:rsid w:val="00F20382"/>
    <w:rsid w:val="00F209EB"/>
    <w:rsid w:val="00F20C27"/>
    <w:rsid w:val="00F20E81"/>
    <w:rsid w:val="00F20FA8"/>
    <w:rsid w:val="00F21A1F"/>
    <w:rsid w:val="00F22413"/>
    <w:rsid w:val="00F22D4A"/>
    <w:rsid w:val="00F23FB4"/>
    <w:rsid w:val="00F249E4"/>
    <w:rsid w:val="00F24D07"/>
    <w:rsid w:val="00F24DF6"/>
    <w:rsid w:val="00F24FB0"/>
    <w:rsid w:val="00F24FF4"/>
    <w:rsid w:val="00F252D8"/>
    <w:rsid w:val="00F258B4"/>
    <w:rsid w:val="00F25E39"/>
    <w:rsid w:val="00F25EFF"/>
    <w:rsid w:val="00F25FE4"/>
    <w:rsid w:val="00F26081"/>
    <w:rsid w:val="00F26240"/>
    <w:rsid w:val="00F265C9"/>
    <w:rsid w:val="00F26CE9"/>
    <w:rsid w:val="00F31156"/>
    <w:rsid w:val="00F31503"/>
    <w:rsid w:val="00F319D6"/>
    <w:rsid w:val="00F33A41"/>
    <w:rsid w:val="00F33B9A"/>
    <w:rsid w:val="00F34000"/>
    <w:rsid w:val="00F34296"/>
    <w:rsid w:val="00F34529"/>
    <w:rsid w:val="00F34D33"/>
    <w:rsid w:val="00F35CC9"/>
    <w:rsid w:val="00F35DD9"/>
    <w:rsid w:val="00F36477"/>
    <w:rsid w:val="00F37778"/>
    <w:rsid w:val="00F37A82"/>
    <w:rsid w:val="00F37B86"/>
    <w:rsid w:val="00F37D72"/>
    <w:rsid w:val="00F37FEE"/>
    <w:rsid w:val="00F40500"/>
    <w:rsid w:val="00F406D9"/>
    <w:rsid w:val="00F40D4E"/>
    <w:rsid w:val="00F40E4E"/>
    <w:rsid w:val="00F426D3"/>
    <w:rsid w:val="00F42E22"/>
    <w:rsid w:val="00F43314"/>
    <w:rsid w:val="00F44163"/>
    <w:rsid w:val="00F44435"/>
    <w:rsid w:val="00F4459B"/>
    <w:rsid w:val="00F44C21"/>
    <w:rsid w:val="00F45577"/>
    <w:rsid w:val="00F456C9"/>
    <w:rsid w:val="00F45A79"/>
    <w:rsid w:val="00F46160"/>
    <w:rsid w:val="00F4661A"/>
    <w:rsid w:val="00F46756"/>
    <w:rsid w:val="00F474E5"/>
    <w:rsid w:val="00F47D61"/>
    <w:rsid w:val="00F47F63"/>
    <w:rsid w:val="00F50076"/>
    <w:rsid w:val="00F501E1"/>
    <w:rsid w:val="00F506AE"/>
    <w:rsid w:val="00F51043"/>
    <w:rsid w:val="00F51905"/>
    <w:rsid w:val="00F51A33"/>
    <w:rsid w:val="00F5231C"/>
    <w:rsid w:val="00F53A02"/>
    <w:rsid w:val="00F53D92"/>
    <w:rsid w:val="00F53E04"/>
    <w:rsid w:val="00F54234"/>
    <w:rsid w:val="00F543D7"/>
    <w:rsid w:val="00F54870"/>
    <w:rsid w:val="00F55240"/>
    <w:rsid w:val="00F5568D"/>
    <w:rsid w:val="00F55E26"/>
    <w:rsid w:val="00F56089"/>
    <w:rsid w:val="00F56671"/>
    <w:rsid w:val="00F56A50"/>
    <w:rsid w:val="00F56B9F"/>
    <w:rsid w:val="00F56C58"/>
    <w:rsid w:val="00F602C9"/>
    <w:rsid w:val="00F60432"/>
    <w:rsid w:val="00F604C4"/>
    <w:rsid w:val="00F60F51"/>
    <w:rsid w:val="00F61427"/>
    <w:rsid w:val="00F618A2"/>
    <w:rsid w:val="00F62154"/>
    <w:rsid w:val="00F62B46"/>
    <w:rsid w:val="00F63381"/>
    <w:rsid w:val="00F63B22"/>
    <w:rsid w:val="00F63E49"/>
    <w:rsid w:val="00F64155"/>
    <w:rsid w:val="00F645D4"/>
    <w:rsid w:val="00F6508D"/>
    <w:rsid w:val="00F65707"/>
    <w:rsid w:val="00F65718"/>
    <w:rsid w:val="00F65B3F"/>
    <w:rsid w:val="00F66045"/>
    <w:rsid w:val="00F66092"/>
    <w:rsid w:val="00F66271"/>
    <w:rsid w:val="00F668A7"/>
    <w:rsid w:val="00F66C4F"/>
    <w:rsid w:val="00F67D18"/>
    <w:rsid w:val="00F67D81"/>
    <w:rsid w:val="00F70335"/>
    <w:rsid w:val="00F707E0"/>
    <w:rsid w:val="00F70843"/>
    <w:rsid w:val="00F71228"/>
    <w:rsid w:val="00F716F9"/>
    <w:rsid w:val="00F71F46"/>
    <w:rsid w:val="00F735A2"/>
    <w:rsid w:val="00F736A6"/>
    <w:rsid w:val="00F74268"/>
    <w:rsid w:val="00F754F7"/>
    <w:rsid w:val="00F76206"/>
    <w:rsid w:val="00F76393"/>
    <w:rsid w:val="00F76488"/>
    <w:rsid w:val="00F765C7"/>
    <w:rsid w:val="00F76FB2"/>
    <w:rsid w:val="00F77134"/>
    <w:rsid w:val="00F80A3E"/>
    <w:rsid w:val="00F81E94"/>
    <w:rsid w:val="00F82511"/>
    <w:rsid w:val="00F829AA"/>
    <w:rsid w:val="00F82EF0"/>
    <w:rsid w:val="00F83A10"/>
    <w:rsid w:val="00F83CC1"/>
    <w:rsid w:val="00F83D0F"/>
    <w:rsid w:val="00F84387"/>
    <w:rsid w:val="00F85A61"/>
    <w:rsid w:val="00F85B6A"/>
    <w:rsid w:val="00F8613D"/>
    <w:rsid w:val="00F86AE3"/>
    <w:rsid w:val="00F86D5E"/>
    <w:rsid w:val="00F877E3"/>
    <w:rsid w:val="00F87E31"/>
    <w:rsid w:val="00F9050E"/>
    <w:rsid w:val="00F906A9"/>
    <w:rsid w:val="00F9093B"/>
    <w:rsid w:val="00F90A95"/>
    <w:rsid w:val="00F90F74"/>
    <w:rsid w:val="00F91DE8"/>
    <w:rsid w:val="00F9247D"/>
    <w:rsid w:val="00F92BC6"/>
    <w:rsid w:val="00F93102"/>
    <w:rsid w:val="00F93E2B"/>
    <w:rsid w:val="00F94510"/>
    <w:rsid w:val="00F945F5"/>
    <w:rsid w:val="00F94686"/>
    <w:rsid w:val="00F946F4"/>
    <w:rsid w:val="00F94DA6"/>
    <w:rsid w:val="00F94E8F"/>
    <w:rsid w:val="00F951B1"/>
    <w:rsid w:val="00F95A80"/>
    <w:rsid w:val="00F95EED"/>
    <w:rsid w:val="00F961DD"/>
    <w:rsid w:val="00F96682"/>
    <w:rsid w:val="00F96BDF"/>
    <w:rsid w:val="00F96E6C"/>
    <w:rsid w:val="00F97BFF"/>
    <w:rsid w:val="00FA058A"/>
    <w:rsid w:val="00FA07F7"/>
    <w:rsid w:val="00FA0982"/>
    <w:rsid w:val="00FA0EBA"/>
    <w:rsid w:val="00FA18C4"/>
    <w:rsid w:val="00FA1CB7"/>
    <w:rsid w:val="00FA1E6D"/>
    <w:rsid w:val="00FA31E3"/>
    <w:rsid w:val="00FA3CB9"/>
    <w:rsid w:val="00FA42D6"/>
    <w:rsid w:val="00FA49BA"/>
    <w:rsid w:val="00FA53BC"/>
    <w:rsid w:val="00FA5408"/>
    <w:rsid w:val="00FA570C"/>
    <w:rsid w:val="00FA6BAB"/>
    <w:rsid w:val="00FA6CB2"/>
    <w:rsid w:val="00FA7084"/>
    <w:rsid w:val="00FA766D"/>
    <w:rsid w:val="00FB0451"/>
    <w:rsid w:val="00FB078D"/>
    <w:rsid w:val="00FB0A89"/>
    <w:rsid w:val="00FB0B55"/>
    <w:rsid w:val="00FB0B70"/>
    <w:rsid w:val="00FB13AA"/>
    <w:rsid w:val="00FB1420"/>
    <w:rsid w:val="00FB1615"/>
    <w:rsid w:val="00FB161D"/>
    <w:rsid w:val="00FB1D99"/>
    <w:rsid w:val="00FB21D8"/>
    <w:rsid w:val="00FB24EE"/>
    <w:rsid w:val="00FB28A3"/>
    <w:rsid w:val="00FB38DF"/>
    <w:rsid w:val="00FB3F36"/>
    <w:rsid w:val="00FB42FD"/>
    <w:rsid w:val="00FB48FC"/>
    <w:rsid w:val="00FB4B79"/>
    <w:rsid w:val="00FB513B"/>
    <w:rsid w:val="00FB52E5"/>
    <w:rsid w:val="00FB56E7"/>
    <w:rsid w:val="00FB61D3"/>
    <w:rsid w:val="00FB65A1"/>
    <w:rsid w:val="00FB7060"/>
    <w:rsid w:val="00FB7DFD"/>
    <w:rsid w:val="00FB7F3C"/>
    <w:rsid w:val="00FC081E"/>
    <w:rsid w:val="00FC0DBD"/>
    <w:rsid w:val="00FC12B5"/>
    <w:rsid w:val="00FC1DE4"/>
    <w:rsid w:val="00FC1E54"/>
    <w:rsid w:val="00FC2EC4"/>
    <w:rsid w:val="00FC3110"/>
    <w:rsid w:val="00FC3152"/>
    <w:rsid w:val="00FC32EB"/>
    <w:rsid w:val="00FC3349"/>
    <w:rsid w:val="00FC4134"/>
    <w:rsid w:val="00FC50F8"/>
    <w:rsid w:val="00FC67AF"/>
    <w:rsid w:val="00FC6985"/>
    <w:rsid w:val="00FC6E10"/>
    <w:rsid w:val="00FD0520"/>
    <w:rsid w:val="00FD2107"/>
    <w:rsid w:val="00FD244F"/>
    <w:rsid w:val="00FD279A"/>
    <w:rsid w:val="00FD29A9"/>
    <w:rsid w:val="00FD3470"/>
    <w:rsid w:val="00FD3608"/>
    <w:rsid w:val="00FD375A"/>
    <w:rsid w:val="00FD3AAE"/>
    <w:rsid w:val="00FD64B7"/>
    <w:rsid w:val="00FD6877"/>
    <w:rsid w:val="00FD7389"/>
    <w:rsid w:val="00FD74AA"/>
    <w:rsid w:val="00FE04DD"/>
    <w:rsid w:val="00FE0599"/>
    <w:rsid w:val="00FE3976"/>
    <w:rsid w:val="00FE3D4B"/>
    <w:rsid w:val="00FE40C4"/>
    <w:rsid w:val="00FE4ACB"/>
    <w:rsid w:val="00FE4B03"/>
    <w:rsid w:val="00FE5403"/>
    <w:rsid w:val="00FE60DF"/>
    <w:rsid w:val="00FE624C"/>
    <w:rsid w:val="00FE68C2"/>
    <w:rsid w:val="00FE7482"/>
    <w:rsid w:val="00FE77E8"/>
    <w:rsid w:val="00FF055B"/>
    <w:rsid w:val="00FF066A"/>
    <w:rsid w:val="00FF080B"/>
    <w:rsid w:val="00FF1011"/>
    <w:rsid w:val="00FF1814"/>
    <w:rsid w:val="00FF197D"/>
    <w:rsid w:val="00FF28E6"/>
    <w:rsid w:val="00FF2F6C"/>
    <w:rsid w:val="00FF3B44"/>
    <w:rsid w:val="00FF3DDD"/>
    <w:rsid w:val="00FF3EDF"/>
    <w:rsid w:val="00FF43BE"/>
    <w:rsid w:val="00FF451E"/>
    <w:rsid w:val="00FF4ACF"/>
    <w:rsid w:val="00FF4E5D"/>
    <w:rsid w:val="00FF4F1E"/>
    <w:rsid w:val="00FF543B"/>
    <w:rsid w:val="00FF5850"/>
    <w:rsid w:val="00FF60B0"/>
    <w:rsid w:val="00FF63CD"/>
    <w:rsid w:val="00FF721E"/>
    <w:rsid w:val="00FF7EAE"/>
    <w:rsid w:val="01B2AF19"/>
    <w:rsid w:val="01F198C6"/>
    <w:rsid w:val="03D9770B"/>
    <w:rsid w:val="048D7C01"/>
    <w:rsid w:val="04DCDFC9"/>
    <w:rsid w:val="06A39D5D"/>
    <w:rsid w:val="078A41E8"/>
    <w:rsid w:val="07BB473C"/>
    <w:rsid w:val="08F8E30C"/>
    <w:rsid w:val="0A22A50A"/>
    <w:rsid w:val="11369FFE"/>
    <w:rsid w:val="1382CFCC"/>
    <w:rsid w:val="1466269B"/>
    <w:rsid w:val="1770413F"/>
    <w:rsid w:val="1778FC78"/>
    <w:rsid w:val="1836B6D5"/>
    <w:rsid w:val="18FA6DC2"/>
    <w:rsid w:val="1AED00E1"/>
    <w:rsid w:val="1CE0D0A4"/>
    <w:rsid w:val="1E3759A8"/>
    <w:rsid w:val="20AC89FC"/>
    <w:rsid w:val="2116B7FC"/>
    <w:rsid w:val="216C034D"/>
    <w:rsid w:val="21775775"/>
    <w:rsid w:val="21CE3593"/>
    <w:rsid w:val="221C6227"/>
    <w:rsid w:val="22C603BA"/>
    <w:rsid w:val="22EB3E67"/>
    <w:rsid w:val="2319E708"/>
    <w:rsid w:val="2494EE70"/>
    <w:rsid w:val="2550D01B"/>
    <w:rsid w:val="25B7DAFD"/>
    <w:rsid w:val="278D888A"/>
    <w:rsid w:val="2815ACE5"/>
    <w:rsid w:val="2826A613"/>
    <w:rsid w:val="28CC4FF0"/>
    <w:rsid w:val="2B463A8D"/>
    <w:rsid w:val="2B5B6DFA"/>
    <w:rsid w:val="2EC42913"/>
    <w:rsid w:val="2EC95596"/>
    <w:rsid w:val="2EF41F3C"/>
    <w:rsid w:val="2F184029"/>
    <w:rsid w:val="2F47EA6A"/>
    <w:rsid w:val="2FE6AA82"/>
    <w:rsid w:val="30643E56"/>
    <w:rsid w:val="3077C134"/>
    <w:rsid w:val="33B8300D"/>
    <w:rsid w:val="33FCF795"/>
    <w:rsid w:val="34220DF3"/>
    <w:rsid w:val="35AAA85F"/>
    <w:rsid w:val="3864A145"/>
    <w:rsid w:val="38EBC6A9"/>
    <w:rsid w:val="3BA5FB6C"/>
    <w:rsid w:val="3D492CA1"/>
    <w:rsid w:val="3D6ED4DC"/>
    <w:rsid w:val="3DE1033E"/>
    <w:rsid w:val="3DE123AC"/>
    <w:rsid w:val="3F4D14C4"/>
    <w:rsid w:val="41B0001A"/>
    <w:rsid w:val="443C7335"/>
    <w:rsid w:val="4663BB27"/>
    <w:rsid w:val="47BDD9DD"/>
    <w:rsid w:val="484F9A7E"/>
    <w:rsid w:val="4B0CB18B"/>
    <w:rsid w:val="4B2F4D29"/>
    <w:rsid w:val="4BB1E03E"/>
    <w:rsid w:val="4BC189B0"/>
    <w:rsid w:val="4D7C739F"/>
    <w:rsid w:val="4E20B5EB"/>
    <w:rsid w:val="4E83D899"/>
    <w:rsid w:val="4FCC0032"/>
    <w:rsid w:val="5019EF24"/>
    <w:rsid w:val="5179E650"/>
    <w:rsid w:val="51C2169F"/>
    <w:rsid w:val="566EA222"/>
    <w:rsid w:val="56DBCD82"/>
    <w:rsid w:val="5882C608"/>
    <w:rsid w:val="5A29C906"/>
    <w:rsid w:val="5AB59B95"/>
    <w:rsid w:val="5B109FE0"/>
    <w:rsid w:val="5D386FA5"/>
    <w:rsid w:val="5E6A13C0"/>
    <w:rsid w:val="5E8F7105"/>
    <w:rsid w:val="5FA8DCC6"/>
    <w:rsid w:val="5FE34F6E"/>
    <w:rsid w:val="606E9CEA"/>
    <w:rsid w:val="6255C07D"/>
    <w:rsid w:val="63556EDC"/>
    <w:rsid w:val="653C20BE"/>
    <w:rsid w:val="66309B8F"/>
    <w:rsid w:val="678CA7C8"/>
    <w:rsid w:val="704D6438"/>
    <w:rsid w:val="71D38EAB"/>
    <w:rsid w:val="75DD2E85"/>
    <w:rsid w:val="775C68D9"/>
    <w:rsid w:val="77DC948E"/>
    <w:rsid w:val="789E66A0"/>
    <w:rsid w:val="7AA18E52"/>
    <w:rsid w:val="7B1EEE2C"/>
    <w:rsid w:val="7CB57AFD"/>
    <w:rsid w:val="7FA4286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046FC"/>
  <w15:chartTrackingRefBased/>
  <w15:docId w15:val="{7FDE6F6E-3946-4520-BCCB-D89BDDC9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08A"/>
    <w:rPr>
      <w:rFonts w:ascii="Aptos" w:hAnsi="Aptos"/>
    </w:rPr>
  </w:style>
  <w:style w:type="paragraph" w:styleId="Heading1">
    <w:name w:val="heading 1"/>
    <w:basedOn w:val="Normal"/>
    <w:next w:val="Normal"/>
    <w:link w:val="Heading1Char"/>
    <w:qFormat/>
    <w:rsid w:val="00F20E81"/>
    <w:pPr>
      <w:pBdr>
        <w:bottom w:val="single" w:sz="4" w:space="1" w:color="auto"/>
      </w:pBdr>
      <w:spacing w:before="60" w:after="240" w:line="240" w:lineRule="auto"/>
      <w:outlineLvl w:val="0"/>
    </w:pPr>
    <w:rPr>
      <w:rFonts w:cs="Arial"/>
      <w:b/>
      <w:bCs/>
      <w:color w:val="4472C4" w:themeColor="accent1"/>
      <w:sz w:val="30"/>
      <w:szCs w:val="28"/>
    </w:rPr>
  </w:style>
  <w:style w:type="paragraph" w:styleId="Heading2">
    <w:name w:val="heading 2"/>
    <w:next w:val="Normal"/>
    <w:link w:val="Heading2Char"/>
    <w:uiPriority w:val="9"/>
    <w:unhideWhenUsed/>
    <w:qFormat/>
    <w:rsid w:val="008E0B00"/>
    <w:pPr>
      <w:outlineLvl w:val="1"/>
    </w:pPr>
    <w:rPr>
      <w:rFonts w:ascii="Aptos" w:eastAsiaTheme="majorEastAsia" w:hAnsi="Aptos" w:cstheme="majorBidi"/>
      <w:b/>
      <w:bCs/>
      <w:sz w:val="24"/>
      <w:szCs w:val="24"/>
    </w:rPr>
  </w:style>
  <w:style w:type="paragraph" w:styleId="Heading3">
    <w:name w:val="heading 3"/>
    <w:basedOn w:val="Normal"/>
    <w:next w:val="Normal"/>
    <w:link w:val="Heading3Char"/>
    <w:uiPriority w:val="9"/>
    <w:unhideWhenUsed/>
    <w:qFormat/>
    <w:rsid w:val="00D252E2"/>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semiHidden/>
    <w:unhideWhenUsed/>
    <w:qFormat/>
    <w:rsid w:val="00473B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03D1"/>
    <w:rPr>
      <w:sz w:val="16"/>
      <w:szCs w:val="16"/>
    </w:rPr>
  </w:style>
  <w:style w:type="paragraph" w:styleId="CommentText">
    <w:name w:val="annotation text"/>
    <w:basedOn w:val="Normal"/>
    <w:link w:val="CommentTextChar"/>
    <w:uiPriority w:val="99"/>
    <w:unhideWhenUsed/>
    <w:rsid w:val="006303D1"/>
    <w:pPr>
      <w:spacing w:line="240" w:lineRule="auto"/>
    </w:pPr>
    <w:rPr>
      <w:sz w:val="20"/>
      <w:szCs w:val="20"/>
    </w:rPr>
  </w:style>
  <w:style w:type="character" w:customStyle="1" w:styleId="CommentTextChar">
    <w:name w:val="Comment Text Char"/>
    <w:basedOn w:val="DefaultParagraphFont"/>
    <w:link w:val="CommentText"/>
    <w:uiPriority w:val="99"/>
    <w:rsid w:val="006303D1"/>
    <w:rPr>
      <w:sz w:val="20"/>
      <w:szCs w:val="20"/>
    </w:rPr>
  </w:style>
  <w:style w:type="paragraph" w:styleId="CommentSubject">
    <w:name w:val="annotation subject"/>
    <w:basedOn w:val="CommentText"/>
    <w:next w:val="CommentText"/>
    <w:link w:val="CommentSubjectChar"/>
    <w:uiPriority w:val="99"/>
    <w:semiHidden/>
    <w:unhideWhenUsed/>
    <w:rsid w:val="006303D1"/>
    <w:rPr>
      <w:b/>
      <w:bCs/>
    </w:rPr>
  </w:style>
  <w:style w:type="character" w:customStyle="1" w:styleId="CommentSubjectChar">
    <w:name w:val="Comment Subject Char"/>
    <w:basedOn w:val="CommentTextChar"/>
    <w:link w:val="CommentSubject"/>
    <w:uiPriority w:val="99"/>
    <w:semiHidden/>
    <w:rsid w:val="006303D1"/>
    <w:rPr>
      <w:b/>
      <w:bCs/>
      <w:sz w:val="20"/>
      <w:szCs w:val="20"/>
    </w:rPr>
  </w:style>
  <w:style w:type="paragraph" w:styleId="ListParagraph">
    <w:name w:val="List Paragraph"/>
    <w:basedOn w:val="Normal"/>
    <w:uiPriority w:val="34"/>
    <w:qFormat/>
    <w:rsid w:val="006303D1"/>
    <w:pPr>
      <w:ind w:left="720"/>
      <w:contextualSpacing/>
    </w:pPr>
  </w:style>
  <w:style w:type="paragraph" w:customStyle="1" w:styleId="IASignature">
    <w:name w:val="IA Signature"/>
    <w:basedOn w:val="Normal"/>
    <w:rsid w:val="00E55778"/>
    <w:pPr>
      <w:tabs>
        <w:tab w:val="left" w:leader="dot" w:pos="6804"/>
        <w:tab w:val="right" w:leader="dot" w:pos="10206"/>
      </w:tabs>
      <w:spacing w:after="0" w:line="240" w:lineRule="auto"/>
      <w:ind w:right="113"/>
    </w:pPr>
    <w:rPr>
      <w:rFonts w:ascii="Arial" w:eastAsia="SimSun" w:hAnsi="Arial" w:cs="Times New Roman"/>
      <w:spacing w:val="-5"/>
      <w:szCs w:val="20"/>
      <w:lang w:val="en-GB" w:eastAsia="zh-CN"/>
    </w:rPr>
  </w:style>
  <w:style w:type="paragraph" w:customStyle="1" w:styleId="IAIOtextSign">
    <w:name w:val="IAIOtextSign"/>
    <w:basedOn w:val="Normal"/>
    <w:rsid w:val="00E55778"/>
    <w:pPr>
      <w:spacing w:after="0" w:line="240" w:lineRule="auto"/>
      <w:jc w:val="center"/>
    </w:pPr>
    <w:rPr>
      <w:rFonts w:ascii="Arial" w:eastAsia="Times New Roman" w:hAnsi="Arial" w:cs="Times New Roman"/>
      <w:sz w:val="24"/>
      <w:szCs w:val="24"/>
      <w:lang w:val="en-GB"/>
    </w:rPr>
  </w:style>
  <w:style w:type="paragraph" w:customStyle="1" w:styleId="IAIOSigDate">
    <w:name w:val="IAIOSigDate"/>
    <w:basedOn w:val="Normal"/>
    <w:rsid w:val="00E55778"/>
    <w:pPr>
      <w:spacing w:after="0" w:line="240" w:lineRule="auto"/>
      <w:jc w:val="center"/>
    </w:pPr>
    <w:rPr>
      <w:rFonts w:ascii="Arial" w:eastAsia="Times New Roman" w:hAnsi="Arial" w:cs="Times New Roman"/>
      <w:lang w:val="en-GB"/>
    </w:rPr>
  </w:style>
  <w:style w:type="paragraph" w:customStyle="1" w:styleId="EBBullet">
    <w:name w:val="EBBullet"/>
    <w:basedOn w:val="BodyText"/>
    <w:rsid w:val="00FB13AA"/>
    <w:pPr>
      <w:numPr>
        <w:numId w:val="1"/>
      </w:numPr>
      <w:tabs>
        <w:tab w:val="clear" w:pos="284"/>
        <w:tab w:val="num" w:pos="360"/>
      </w:tabs>
      <w:spacing w:line="240" w:lineRule="auto"/>
      <w:ind w:left="0" w:firstLine="0"/>
    </w:pPr>
    <w:rPr>
      <w:rFonts w:ascii="Arial" w:eastAsia="Times New Roman" w:hAnsi="Arial" w:cs="Arial"/>
      <w:bCs/>
      <w:color w:val="000000"/>
      <w:lang w:val="en-GB" w:eastAsia="en-GB"/>
    </w:rPr>
  </w:style>
  <w:style w:type="paragraph" w:styleId="BodyText">
    <w:name w:val="Body Text"/>
    <w:basedOn w:val="Normal"/>
    <w:link w:val="BodyTextChar"/>
    <w:uiPriority w:val="99"/>
    <w:semiHidden/>
    <w:unhideWhenUsed/>
    <w:rsid w:val="00FB13AA"/>
    <w:pPr>
      <w:spacing w:after="120"/>
    </w:pPr>
  </w:style>
  <w:style w:type="character" w:customStyle="1" w:styleId="BodyTextChar">
    <w:name w:val="Body Text Char"/>
    <w:basedOn w:val="DefaultParagraphFont"/>
    <w:link w:val="BodyText"/>
    <w:uiPriority w:val="99"/>
    <w:semiHidden/>
    <w:rsid w:val="00FB13AA"/>
  </w:style>
  <w:style w:type="paragraph" w:customStyle="1" w:styleId="Bullet-list">
    <w:name w:val="Bullet-list"/>
    <w:qFormat/>
    <w:rsid w:val="00FB13AA"/>
    <w:pPr>
      <w:numPr>
        <w:numId w:val="2"/>
      </w:numPr>
      <w:spacing w:after="180" w:line="280" w:lineRule="exact"/>
    </w:pPr>
    <w:rPr>
      <w:rFonts w:ascii="Arial" w:eastAsia="Times New Roman" w:hAnsi="Arial" w:cs="Times New Roman"/>
      <w:szCs w:val="20"/>
      <w:lang w:val="en-AU"/>
    </w:rPr>
  </w:style>
  <w:style w:type="character" w:styleId="Hyperlink">
    <w:name w:val="Hyperlink"/>
    <w:basedOn w:val="DefaultParagraphFont"/>
    <w:uiPriority w:val="99"/>
    <w:unhideWhenUsed/>
    <w:rsid w:val="007C1246"/>
    <w:rPr>
      <w:color w:val="0000FF"/>
      <w:u w:val="single"/>
    </w:rPr>
  </w:style>
  <w:style w:type="paragraph" w:styleId="Header">
    <w:name w:val="header"/>
    <w:basedOn w:val="Normal"/>
    <w:link w:val="HeaderChar"/>
    <w:uiPriority w:val="99"/>
    <w:unhideWhenUsed/>
    <w:rsid w:val="00AD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67"/>
  </w:style>
  <w:style w:type="paragraph" w:styleId="Footer">
    <w:name w:val="footer"/>
    <w:basedOn w:val="Normal"/>
    <w:link w:val="FooterChar"/>
    <w:uiPriority w:val="99"/>
    <w:unhideWhenUsed/>
    <w:rsid w:val="00AD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67"/>
  </w:style>
  <w:style w:type="character" w:styleId="FollowedHyperlink">
    <w:name w:val="FollowedHyperlink"/>
    <w:basedOn w:val="DefaultParagraphFont"/>
    <w:uiPriority w:val="99"/>
    <w:semiHidden/>
    <w:unhideWhenUsed/>
    <w:rsid w:val="00940F28"/>
    <w:rPr>
      <w:color w:val="954F72" w:themeColor="followedHyperlink"/>
      <w:u w:val="single"/>
    </w:rPr>
  </w:style>
  <w:style w:type="paragraph" w:styleId="Revision">
    <w:name w:val="Revision"/>
    <w:hidden/>
    <w:uiPriority w:val="99"/>
    <w:semiHidden/>
    <w:rsid w:val="00FA53BC"/>
    <w:pPr>
      <w:spacing w:after="0" w:line="240" w:lineRule="auto"/>
    </w:pPr>
  </w:style>
  <w:style w:type="character" w:customStyle="1" w:styleId="Heading1Char">
    <w:name w:val="Heading 1 Char"/>
    <w:basedOn w:val="DefaultParagraphFont"/>
    <w:link w:val="Heading1"/>
    <w:rsid w:val="00F20E81"/>
    <w:rPr>
      <w:rFonts w:ascii="Aptos" w:hAnsi="Aptos" w:cs="Arial"/>
      <w:b/>
      <w:bCs/>
      <w:color w:val="4472C4" w:themeColor="accent1"/>
      <w:sz w:val="30"/>
      <w:szCs w:val="28"/>
    </w:rPr>
  </w:style>
  <w:style w:type="paragraph" w:customStyle="1" w:styleId="TableHeadings">
    <w:name w:val="Table Headings"/>
    <w:basedOn w:val="Normal"/>
    <w:qFormat/>
    <w:rsid w:val="00182D88"/>
    <w:pPr>
      <w:spacing w:before="60" w:after="60" w:line="280" w:lineRule="atLeast"/>
    </w:pPr>
    <w:rPr>
      <w:rFonts w:ascii="Arial" w:eastAsia="Times New Roman" w:hAnsi="Arial" w:cs="Arial"/>
      <w:b/>
      <w:color w:val="000000"/>
      <w:szCs w:val="20"/>
      <w:lang w:val="en-GB" w:eastAsia="en-GB"/>
    </w:rPr>
  </w:style>
  <w:style w:type="paragraph" w:styleId="Title">
    <w:name w:val="Title"/>
    <w:next w:val="Normal"/>
    <w:link w:val="TitleChar"/>
    <w:uiPriority w:val="10"/>
    <w:qFormat/>
    <w:rsid w:val="00A12E91"/>
    <w:pPr>
      <w:spacing w:after="120" w:line="276" w:lineRule="auto"/>
    </w:pPr>
    <w:rPr>
      <w:rFonts w:ascii="Aptos" w:eastAsia="Times New Roman" w:hAnsi="Aptos" w:cs="Times New Roman"/>
      <w:b/>
      <w:color w:val="4472C4" w:themeColor="accent1"/>
      <w:spacing w:val="20"/>
      <w:w w:val="90"/>
      <w:sz w:val="44"/>
      <w:szCs w:val="44"/>
      <w:lang w:eastAsia="en-GB"/>
    </w:rPr>
  </w:style>
  <w:style w:type="character" w:customStyle="1" w:styleId="TitleChar">
    <w:name w:val="Title Char"/>
    <w:basedOn w:val="DefaultParagraphFont"/>
    <w:link w:val="Title"/>
    <w:uiPriority w:val="10"/>
    <w:rsid w:val="00A12E91"/>
    <w:rPr>
      <w:rFonts w:ascii="Aptos" w:eastAsia="Times New Roman" w:hAnsi="Aptos" w:cs="Times New Roman"/>
      <w:b/>
      <w:color w:val="4472C4" w:themeColor="accent1"/>
      <w:spacing w:val="20"/>
      <w:w w:val="90"/>
      <w:sz w:val="44"/>
      <w:szCs w:val="44"/>
      <w:lang w:eastAsia="en-GB"/>
    </w:rPr>
  </w:style>
  <w:style w:type="character" w:customStyle="1" w:styleId="Heading2Char">
    <w:name w:val="Heading 2 Char"/>
    <w:basedOn w:val="DefaultParagraphFont"/>
    <w:link w:val="Heading2"/>
    <w:uiPriority w:val="9"/>
    <w:rsid w:val="008E0B00"/>
    <w:rPr>
      <w:rFonts w:ascii="Aptos" w:eastAsiaTheme="majorEastAsia" w:hAnsi="Aptos" w:cstheme="majorBidi"/>
      <w:b/>
      <w:bCs/>
      <w:sz w:val="24"/>
      <w:szCs w:val="24"/>
    </w:rPr>
  </w:style>
  <w:style w:type="character" w:customStyle="1" w:styleId="Heading3Char">
    <w:name w:val="Heading 3 Char"/>
    <w:basedOn w:val="DefaultParagraphFont"/>
    <w:link w:val="Heading3"/>
    <w:uiPriority w:val="9"/>
    <w:rsid w:val="00D252E2"/>
    <w:rPr>
      <w:rFonts w:asciiTheme="majorHAnsi" w:eastAsiaTheme="majorEastAsia" w:hAnsiTheme="majorHAnsi" w:cstheme="majorBidi"/>
      <w:b/>
      <w:color w:val="595959" w:themeColor="text1" w:themeTint="A6"/>
      <w:sz w:val="24"/>
      <w:szCs w:val="24"/>
    </w:rPr>
  </w:style>
  <w:style w:type="character" w:customStyle="1" w:styleId="Heading4Char">
    <w:name w:val="Heading 4 Char"/>
    <w:basedOn w:val="DefaultParagraphFont"/>
    <w:link w:val="Heading4"/>
    <w:uiPriority w:val="9"/>
    <w:semiHidden/>
    <w:rsid w:val="00473BDB"/>
    <w:rPr>
      <w:rFonts w:asciiTheme="majorHAnsi" w:eastAsiaTheme="majorEastAsia" w:hAnsiTheme="majorHAnsi" w:cstheme="majorBidi"/>
      <w:i/>
      <w:iCs/>
      <w:color w:val="2F5496" w:themeColor="accent1" w:themeShade="BF"/>
    </w:rPr>
  </w:style>
  <w:style w:type="paragraph" w:customStyle="1" w:styleId="Numberedparagraph">
    <w:name w:val="Numbered paragraph"/>
    <w:basedOn w:val="ListParagraph"/>
    <w:qFormat/>
    <w:rsid w:val="008C5B58"/>
    <w:pPr>
      <w:numPr>
        <w:numId w:val="3"/>
      </w:numPr>
      <w:spacing w:after="120" w:line="280" w:lineRule="atLeast"/>
      <w:contextualSpacing w:val="0"/>
    </w:pPr>
  </w:style>
  <w:style w:type="paragraph" w:customStyle="1" w:styleId="TableText">
    <w:name w:val="Table Text"/>
    <w:basedOn w:val="Normal"/>
    <w:link w:val="TableTextChar"/>
    <w:rsid w:val="003B3B9F"/>
    <w:pPr>
      <w:autoSpaceDE w:val="0"/>
      <w:autoSpaceDN w:val="0"/>
      <w:adjustRightInd w:val="0"/>
      <w:spacing w:before="60" w:after="60" w:line="240" w:lineRule="atLeast"/>
    </w:pPr>
    <w:rPr>
      <w:rFonts w:ascii="Arial" w:eastAsia="Times New Roman" w:hAnsi="Arial" w:cs="GillSans"/>
      <w:sz w:val="20"/>
      <w:lang w:val="en-GB" w:eastAsia="en-AU"/>
    </w:rPr>
  </w:style>
  <w:style w:type="character" w:styleId="Mention">
    <w:name w:val="Mention"/>
    <w:basedOn w:val="DefaultParagraphFont"/>
    <w:uiPriority w:val="99"/>
    <w:unhideWhenUsed/>
    <w:rsid w:val="00166EED"/>
    <w:rPr>
      <w:color w:val="2B579A"/>
      <w:shd w:val="clear" w:color="auto" w:fill="E1DFDD"/>
    </w:rPr>
  </w:style>
  <w:style w:type="character" w:styleId="UnresolvedMention">
    <w:name w:val="Unresolved Mention"/>
    <w:basedOn w:val="DefaultParagraphFont"/>
    <w:uiPriority w:val="99"/>
    <w:semiHidden/>
    <w:unhideWhenUsed/>
    <w:rsid w:val="00C61514"/>
    <w:rPr>
      <w:color w:val="605E5C"/>
      <w:shd w:val="clear" w:color="auto" w:fill="E1DFDD"/>
    </w:rPr>
  </w:style>
  <w:style w:type="paragraph" w:styleId="NoSpacing">
    <w:name w:val="No Spacing"/>
    <w:uiPriority w:val="1"/>
    <w:qFormat/>
    <w:rsid w:val="009E17A7"/>
    <w:pPr>
      <w:spacing w:after="0" w:line="240" w:lineRule="auto"/>
    </w:pPr>
    <w:rPr>
      <w:rFonts w:ascii="Aptos" w:hAnsi="Aptos"/>
    </w:rPr>
  </w:style>
  <w:style w:type="paragraph" w:customStyle="1" w:styleId="GuidanceTextCollapsible">
    <w:name w:val="Guidance Text Collapsible"/>
    <w:basedOn w:val="Heading2"/>
    <w:link w:val="GuidanceTextCollapsibleChar"/>
    <w:qFormat/>
    <w:rsid w:val="00016921"/>
    <w:pPr>
      <w:shd w:val="clear" w:color="auto" w:fill="C5E0B3" w:themeFill="accent6" w:themeFillTint="66"/>
      <w:spacing w:after="0" w:line="240" w:lineRule="auto"/>
      <w:outlineLvl w:val="2"/>
      <w15:collapsed/>
    </w:pPr>
    <w:rPr>
      <w:sz w:val="22"/>
      <w:szCs w:val="22"/>
    </w:rPr>
  </w:style>
  <w:style w:type="character" w:customStyle="1" w:styleId="GuidanceTextCollapsibleChar">
    <w:name w:val="Guidance Text Collapsible Char"/>
    <w:basedOn w:val="Heading2Char"/>
    <w:link w:val="GuidanceTextCollapsible"/>
    <w:rsid w:val="00016921"/>
    <w:rPr>
      <w:rFonts w:ascii="Aptos" w:eastAsiaTheme="majorEastAsia" w:hAnsi="Aptos" w:cstheme="majorBidi"/>
      <w:b/>
      <w:bCs/>
      <w:sz w:val="24"/>
      <w:szCs w:val="24"/>
      <w:shd w:val="clear" w:color="auto" w:fill="C5E0B3" w:themeFill="accent6" w:themeFillTint="66"/>
    </w:rPr>
  </w:style>
  <w:style w:type="paragraph" w:customStyle="1" w:styleId="Collapsibleguidance">
    <w:name w:val="Collapsible guidance"/>
    <w:basedOn w:val="Heading1"/>
    <w:qFormat/>
    <w:rsid w:val="002B66E0"/>
    <w:pPr>
      <w:outlineLvl w:val="1"/>
    </w:pPr>
    <w:rPr>
      <w:rFonts w:ascii="Source Sans Pro" w:hAnsi="Source Sans Pro"/>
      <w:color w:val="auto"/>
      <w:sz w:val="24"/>
    </w:rPr>
  </w:style>
  <w:style w:type="character" w:customStyle="1" w:styleId="TableTextChar">
    <w:name w:val="Table Text Char"/>
    <w:link w:val="TableText"/>
    <w:rsid w:val="008906C0"/>
    <w:rPr>
      <w:rFonts w:ascii="Arial" w:eastAsia="Times New Roman" w:hAnsi="Arial" w:cs="GillSans"/>
      <w:sz w:val="20"/>
      <w:lang w:val="en-GB" w:eastAsia="en-AU"/>
    </w:rPr>
  </w:style>
  <w:style w:type="paragraph" w:styleId="FootnoteText">
    <w:name w:val="footnote text"/>
    <w:basedOn w:val="Normal"/>
    <w:link w:val="FootnoteTextChar"/>
    <w:uiPriority w:val="99"/>
    <w:semiHidden/>
    <w:unhideWhenUsed/>
    <w:rsid w:val="007B04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458"/>
    <w:rPr>
      <w:rFonts w:ascii="Aptos" w:hAnsi="Aptos"/>
      <w:sz w:val="20"/>
      <w:szCs w:val="20"/>
    </w:rPr>
  </w:style>
  <w:style w:type="character" w:styleId="FootnoteReference">
    <w:name w:val="footnote reference"/>
    <w:semiHidden/>
    <w:rsid w:val="007B0458"/>
    <w:rPr>
      <w:rFonts w:ascii="Arial" w:hAnsi="Arial"/>
      <w:color w:val="auto"/>
      <w:position w:val="8"/>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170">
      <w:bodyDiv w:val="1"/>
      <w:marLeft w:val="0"/>
      <w:marRight w:val="0"/>
      <w:marTop w:val="0"/>
      <w:marBottom w:val="0"/>
      <w:divBdr>
        <w:top w:val="none" w:sz="0" w:space="0" w:color="auto"/>
        <w:left w:val="none" w:sz="0" w:space="0" w:color="auto"/>
        <w:bottom w:val="none" w:sz="0" w:space="0" w:color="auto"/>
        <w:right w:val="none" w:sz="0" w:space="0" w:color="auto"/>
      </w:divBdr>
    </w:div>
    <w:div w:id="25064855">
      <w:bodyDiv w:val="1"/>
      <w:marLeft w:val="0"/>
      <w:marRight w:val="0"/>
      <w:marTop w:val="0"/>
      <w:marBottom w:val="0"/>
      <w:divBdr>
        <w:top w:val="none" w:sz="0" w:space="0" w:color="auto"/>
        <w:left w:val="none" w:sz="0" w:space="0" w:color="auto"/>
        <w:bottom w:val="none" w:sz="0" w:space="0" w:color="auto"/>
        <w:right w:val="none" w:sz="0" w:space="0" w:color="auto"/>
      </w:divBdr>
    </w:div>
    <w:div w:id="135922473">
      <w:bodyDiv w:val="1"/>
      <w:marLeft w:val="0"/>
      <w:marRight w:val="0"/>
      <w:marTop w:val="0"/>
      <w:marBottom w:val="0"/>
      <w:divBdr>
        <w:top w:val="none" w:sz="0" w:space="0" w:color="auto"/>
        <w:left w:val="none" w:sz="0" w:space="0" w:color="auto"/>
        <w:bottom w:val="none" w:sz="0" w:space="0" w:color="auto"/>
        <w:right w:val="none" w:sz="0" w:space="0" w:color="auto"/>
      </w:divBdr>
    </w:div>
    <w:div w:id="386028506">
      <w:bodyDiv w:val="1"/>
      <w:marLeft w:val="0"/>
      <w:marRight w:val="0"/>
      <w:marTop w:val="0"/>
      <w:marBottom w:val="0"/>
      <w:divBdr>
        <w:top w:val="none" w:sz="0" w:space="0" w:color="auto"/>
        <w:left w:val="none" w:sz="0" w:space="0" w:color="auto"/>
        <w:bottom w:val="none" w:sz="0" w:space="0" w:color="auto"/>
        <w:right w:val="none" w:sz="0" w:space="0" w:color="auto"/>
      </w:divBdr>
    </w:div>
    <w:div w:id="509175307">
      <w:bodyDiv w:val="1"/>
      <w:marLeft w:val="0"/>
      <w:marRight w:val="0"/>
      <w:marTop w:val="0"/>
      <w:marBottom w:val="0"/>
      <w:divBdr>
        <w:top w:val="none" w:sz="0" w:space="0" w:color="auto"/>
        <w:left w:val="none" w:sz="0" w:space="0" w:color="auto"/>
        <w:bottom w:val="none" w:sz="0" w:space="0" w:color="auto"/>
        <w:right w:val="none" w:sz="0" w:space="0" w:color="auto"/>
      </w:divBdr>
    </w:div>
    <w:div w:id="757484004">
      <w:bodyDiv w:val="1"/>
      <w:marLeft w:val="0"/>
      <w:marRight w:val="0"/>
      <w:marTop w:val="0"/>
      <w:marBottom w:val="0"/>
      <w:divBdr>
        <w:top w:val="none" w:sz="0" w:space="0" w:color="auto"/>
        <w:left w:val="none" w:sz="0" w:space="0" w:color="auto"/>
        <w:bottom w:val="none" w:sz="0" w:space="0" w:color="auto"/>
        <w:right w:val="none" w:sz="0" w:space="0" w:color="auto"/>
      </w:divBdr>
    </w:div>
    <w:div w:id="1189175833">
      <w:bodyDiv w:val="1"/>
      <w:marLeft w:val="0"/>
      <w:marRight w:val="0"/>
      <w:marTop w:val="0"/>
      <w:marBottom w:val="0"/>
      <w:divBdr>
        <w:top w:val="none" w:sz="0" w:space="0" w:color="auto"/>
        <w:left w:val="none" w:sz="0" w:space="0" w:color="auto"/>
        <w:bottom w:val="none" w:sz="0" w:space="0" w:color="auto"/>
        <w:right w:val="none" w:sz="0" w:space="0" w:color="auto"/>
      </w:divBdr>
    </w:div>
    <w:div w:id="1260717694">
      <w:bodyDiv w:val="1"/>
      <w:marLeft w:val="0"/>
      <w:marRight w:val="0"/>
      <w:marTop w:val="0"/>
      <w:marBottom w:val="0"/>
      <w:divBdr>
        <w:top w:val="none" w:sz="0" w:space="0" w:color="auto"/>
        <w:left w:val="none" w:sz="0" w:space="0" w:color="auto"/>
        <w:bottom w:val="none" w:sz="0" w:space="0" w:color="auto"/>
        <w:right w:val="none" w:sz="0" w:space="0" w:color="auto"/>
      </w:divBdr>
    </w:div>
    <w:div w:id="1393963851">
      <w:bodyDiv w:val="1"/>
      <w:marLeft w:val="0"/>
      <w:marRight w:val="0"/>
      <w:marTop w:val="0"/>
      <w:marBottom w:val="0"/>
      <w:divBdr>
        <w:top w:val="none" w:sz="0" w:space="0" w:color="auto"/>
        <w:left w:val="none" w:sz="0" w:space="0" w:color="auto"/>
        <w:bottom w:val="none" w:sz="0" w:space="0" w:color="auto"/>
        <w:right w:val="none" w:sz="0" w:space="0" w:color="auto"/>
      </w:divBdr>
    </w:div>
    <w:div w:id="1545404677">
      <w:bodyDiv w:val="1"/>
      <w:marLeft w:val="0"/>
      <w:marRight w:val="0"/>
      <w:marTop w:val="0"/>
      <w:marBottom w:val="0"/>
      <w:divBdr>
        <w:top w:val="none" w:sz="0" w:space="0" w:color="auto"/>
        <w:left w:val="none" w:sz="0" w:space="0" w:color="auto"/>
        <w:bottom w:val="none" w:sz="0" w:space="0" w:color="auto"/>
        <w:right w:val="none" w:sz="0" w:space="0" w:color="auto"/>
      </w:divBdr>
    </w:div>
    <w:div w:id="1779064923">
      <w:bodyDiv w:val="1"/>
      <w:marLeft w:val="0"/>
      <w:marRight w:val="0"/>
      <w:marTop w:val="0"/>
      <w:marBottom w:val="0"/>
      <w:divBdr>
        <w:top w:val="none" w:sz="0" w:space="0" w:color="auto"/>
        <w:left w:val="none" w:sz="0" w:space="0" w:color="auto"/>
        <w:bottom w:val="none" w:sz="0" w:space="0" w:color="auto"/>
        <w:right w:val="none" w:sz="0" w:space="0" w:color="auto"/>
      </w:divBdr>
    </w:div>
    <w:div w:id="18993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govt.nz/publications/guidance/planning/charges" TargetMode="External"/><Relationship Id="rId18" Type="http://schemas.openxmlformats.org/officeDocument/2006/relationships/hyperlink" Target="http://www.finance.gov.au/sites/default/files/australian-government-cost-recovery-guidelines.pdf"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www.regulation.govt.nz/our-work/meeting-regulatory-impact-analysis-ria-requireme"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ulation.govt.nz/about-us/our-publications/guidance-issued-under-section-26-of-the-regulatory-standards-act-2025/" TargetMode="External"/><Relationship Id="rId20" Type="http://schemas.openxmlformats.org/officeDocument/2006/relationships/hyperlink" Target="http://www.google.co.nz/url?sa=t&amp;rct=j&amp;q=&amp;esrc=s&amp;source=web&amp;cd=1&amp;cad=rja&amp;uact=8&amp;ved=0CCAQFjAAahUKEwjU6urskeHGAhXhr6YKHXo2AIg&amp;url=http%3A%2F%2Fwww.cic.gc.ca%2Fenglish%2Fdepartment%2Fconsultations%2Fpassport%2Fpdf%2F2012-03-proposition-eng.pdf&amp;ei=MGuoVdSSNuHfmgX67IDACA&amp;usg=AFQjCNGQ86IEynoiY4tv00JSrpNjTTzk5Q&amp;sig2=FusFC7xloIzdkVOmGd7ASQ&amp;bvm=bv.98197061,d.d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google.co.nz/url?sa=t&amp;rct=j&amp;q=&amp;esrc=s&amp;source=web&amp;cd=10&amp;cad=rja&amp;uact=8&amp;ved=0CF8QFjAJahUKEwjp0M-DquHGAhWnXaYKHVt-Bwk&amp;url=http%3A%2F%2Fwww.teqsa.gov.au%2Fsites%2Fdefault%2Ffiles%2FTEQSACRIS201516.pdf&amp;ei=i4SoVanfB6e7mQXb_J1I&amp;usg=AFQjCNHidzHh6NAMZDV28iIHh7mk1I_uvg&amp;sig2=uj5EeKzY79BjFF__43nOrw&amp;bvm=bv.98197061,d.dGY" TargetMode="Externa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ag.govt.nz/2008/charging-fees" TargetMode="External"/><Relationship Id="rId22" Type="http://schemas.openxmlformats.org/officeDocument/2006/relationships/hyperlink" Target="http://www.finance.gov.au/sites/default/files/australian-government-cost-recovery-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CBCB6B76851542994292999C6F4283" ma:contentTypeVersion="12" ma:contentTypeDescription="Create a new document." ma:contentTypeScope="" ma:versionID="db33954374413579e4c1eec8c753431c">
  <xsd:schema xmlns:xsd="http://www.w3.org/2001/XMLSchema" xmlns:xs="http://www.w3.org/2001/XMLSchema" xmlns:p="http://schemas.microsoft.com/office/2006/metadata/properties" xmlns:ns2="92d1efc3-613a-4873-8dae-46fd2dd5957a" xmlns:ns3="9fe5335d-ef96-4eb2-840b-d7066f37abce" targetNamespace="http://schemas.microsoft.com/office/2006/metadata/properties" ma:root="true" ma:fieldsID="7cc11c5eaa3ddf8a2b2835c2c8e4adcb" ns2:_="" ns3:_="">
    <xsd:import namespace="92d1efc3-613a-4873-8dae-46fd2dd5957a"/>
    <xsd:import namespace="9fe5335d-ef96-4eb2-840b-d7066f37a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1efc3-613a-4873-8dae-46fd2dd59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1e2c50-e6f8-4da0-8ffe-dc9cd61a5b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5335d-ef96-4eb2-840b-d7066f37ab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78272-30bf-4a1a-bef1-d945f64c4f7c}" ma:internalName="TaxCatchAll" ma:showField="CatchAllData" ma:web="9fe5335d-ef96-4eb2-840b-d7066f37ab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d1efc3-613a-4873-8dae-46fd2dd5957a">
      <Terms xmlns="http://schemas.microsoft.com/office/infopath/2007/PartnerControls"/>
    </lcf76f155ced4ddcb4097134ff3c332f>
    <TaxCatchAll xmlns="9fe5335d-ef96-4eb2-840b-d7066f37ab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9001-E5A9-48C8-917B-4A99A7FDE6EE}">
  <ds:schemaRefs>
    <ds:schemaRef ds:uri="http://schemas.microsoft.com/sharepoint/v3/contenttype/forms"/>
  </ds:schemaRefs>
</ds:datastoreItem>
</file>

<file path=customXml/itemProps2.xml><?xml version="1.0" encoding="utf-8"?>
<ds:datastoreItem xmlns:ds="http://schemas.openxmlformats.org/officeDocument/2006/customXml" ds:itemID="{F9FB890F-BDD1-42C3-9D38-9E5E0B826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1efc3-613a-4873-8dae-46fd2dd5957a"/>
    <ds:schemaRef ds:uri="9fe5335d-ef96-4eb2-840b-d7066f37a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FB94A-0D20-4155-A2DE-8D7F636131AC}">
  <ds:schemaRefs>
    <ds:schemaRef ds:uri="http://schemas.microsoft.com/office/2006/metadata/properties"/>
    <ds:schemaRef ds:uri="http://schemas.microsoft.com/office/infopath/2007/PartnerControls"/>
    <ds:schemaRef ds:uri="92d1efc3-613a-4873-8dae-46fd2dd5957a"/>
    <ds:schemaRef ds:uri="9fe5335d-ef96-4eb2-840b-d7066f37abce"/>
  </ds:schemaRefs>
</ds:datastoreItem>
</file>

<file path=customXml/itemProps4.xml><?xml version="1.0" encoding="utf-8"?>
<ds:datastoreItem xmlns:ds="http://schemas.openxmlformats.org/officeDocument/2006/customXml" ds:itemID="{B580E981-7F66-4592-90E8-0992384D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2720</Words>
  <Characters>15128</Characters>
  <Application>Microsoft Office Word</Application>
  <DocSecurity>0</DocSecurity>
  <Lines>540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Links>
    <vt:vector size="48" baseType="variant">
      <vt:variant>
        <vt:i4>39</vt:i4>
      </vt:variant>
      <vt:variant>
        <vt:i4>21</vt:i4>
      </vt:variant>
      <vt:variant>
        <vt:i4>0</vt:i4>
      </vt:variant>
      <vt:variant>
        <vt:i4>5</vt:i4>
      </vt:variant>
      <vt:variant>
        <vt:lpwstr>http://www.google.co.nz/url?sa=t&amp;rct=j&amp;q=&amp;esrc=s&amp;source=web&amp;cd=10&amp;cad=rja&amp;uact=8&amp;ved=0CF8QFjAJahUKEwjp0M-DquHGAhWnXaYKHVt-Bwk&amp;url=http%3A%2F%2Fwww.teqsa.gov.au%2Fsites%2Fdefault%2Ffiles%2FTEQSACRIS201516.pdf&amp;ei=i4SoVanfB6e7mQXb_J1I&amp;usg=AFQjCNHidzHh6NAMZDV28iIHh7mk1I_uvg&amp;sig2=uj5EeKzY79BjFF__43nOrw&amp;bvm=bv.98197061,d.dGY</vt:lpwstr>
      </vt:variant>
      <vt:variant>
        <vt:lpwstr/>
      </vt:variant>
      <vt:variant>
        <vt:i4>5177372</vt:i4>
      </vt:variant>
      <vt:variant>
        <vt:i4>18</vt:i4>
      </vt:variant>
      <vt:variant>
        <vt:i4>0</vt:i4>
      </vt:variant>
      <vt:variant>
        <vt:i4>5</vt:i4>
      </vt:variant>
      <vt:variant>
        <vt:lpwstr>http://www.finance.gov.au/sites/default/files/australian-government-cost-recovery-guidelines.pdf</vt:lpwstr>
      </vt:variant>
      <vt:variant>
        <vt:lpwstr/>
      </vt:variant>
      <vt:variant>
        <vt:i4>7667810</vt:i4>
      </vt:variant>
      <vt:variant>
        <vt:i4>15</vt:i4>
      </vt:variant>
      <vt:variant>
        <vt:i4>0</vt:i4>
      </vt:variant>
      <vt:variant>
        <vt:i4>5</vt:i4>
      </vt:variant>
      <vt:variant>
        <vt:lpwstr>http://www.google.co.nz/url?sa=t&amp;rct=j&amp;q=&amp;esrc=s&amp;source=web&amp;cd=1&amp;cad=rja&amp;uact=8&amp;ved=0CCAQFjAAahUKEwjU6urskeHGAhXhr6YKHXo2AIg&amp;url=http%3A%2F%2Fwww.cic.gc.ca%2Fenglish%2Fdepartment%2Fconsultations%2Fpassport%2Fpdf%2F2012-03-proposition-eng.pdf&amp;ei=MGuoVdSSNuHfmgX67IDACA&amp;usg=AFQjCNGQ86IEynoiY4tv00JSrpNjTTzk5Q&amp;sig2=FusFC7xloIzdkVOmGd7ASQ&amp;bvm=bv.98197061,d.dGY</vt:lpwstr>
      </vt:variant>
      <vt:variant>
        <vt:lpwstr/>
      </vt:variant>
      <vt:variant>
        <vt:i4>5177372</vt:i4>
      </vt:variant>
      <vt:variant>
        <vt:i4>12</vt:i4>
      </vt:variant>
      <vt:variant>
        <vt:i4>0</vt:i4>
      </vt:variant>
      <vt:variant>
        <vt:i4>5</vt:i4>
      </vt:variant>
      <vt:variant>
        <vt:lpwstr>http://www.finance.gov.au/sites/default/files/australian-government-cost-recovery-guidelines.pdf</vt:lpwstr>
      </vt:variant>
      <vt:variant>
        <vt:lpwstr/>
      </vt:variant>
      <vt:variant>
        <vt:i4>6619193</vt:i4>
      </vt:variant>
      <vt:variant>
        <vt:i4>9</vt:i4>
      </vt:variant>
      <vt:variant>
        <vt:i4>0</vt:i4>
      </vt:variant>
      <vt:variant>
        <vt:i4>5</vt:i4>
      </vt:variant>
      <vt:variant>
        <vt:lpwstr>https://www.regulation.govt.nz/about-us/our-publications/guidance-issued-under-section-26-of-the-regulatory-standards-act-2025/</vt:lpwstr>
      </vt:variant>
      <vt:variant>
        <vt:lpwstr/>
      </vt:variant>
      <vt:variant>
        <vt:i4>6029326</vt:i4>
      </vt:variant>
      <vt:variant>
        <vt:i4>6</vt:i4>
      </vt:variant>
      <vt:variant>
        <vt:i4>0</vt:i4>
      </vt:variant>
      <vt:variant>
        <vt:i4>5</vt:i4>
      </vt:variant>
      <vt:variant>
        <vt:lpwstr>http://www.oag.govt.nz/2008/charging-fees</vt:lpwstr>
      </vt:variant>
      <vt:variant>
        <vt:lpwstr/>
      </vt:variant>
      <vt:variant>
        <vt:i4>6553699</vt:i4>
      </vt:variant>
      <vt:variant>
        <vt:i4>3</vt:i4>
      </vt:variant>
      <vt:variant>
        <vt:i4>0</vt:i4>
      </vt:variant>
      <vt:variant>
        <vt:i4>5</vt:i4>
      </vt:variant>
      <vt:variant>
        <vt:lpwstr>http://www.treasury.govt.nz/publications/guidance/planning/charges</vt:lpwstr>
      </vt:variant>
      <vt:variant>
        <vt:lpwstr/>
      </vt:variant>
      <vt:variant>
        <vt:i4>5570640</vt:i4>
      </vt:variant>
      <vt:variant>
        <vt:i4>0</vt:i4>
      </vt:variant>
      <vt:variant>
        <vt:i4>0</vt:i4>
      </vt:variant>
      <vt:variant>
        <vt:i4>5</vt:i4>
      </vt:variant>
      <vt:variant>
        <vt:lpwstr>https://www.regulation.govt.nz/our-work/meeting-regulatory-impact-analysis-ria-requireme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Stagwood</dc:creator>
  <cp:keywords/>
  <dc:description/>
  <cp:lastModifiedBy>Ellen Stagwood</cp:lastModifiedBy>
  <cp:revision>2</cp:revision>
  <cp:lastPrinted>2025-11-08T08:28:00Z</cp:lastPrinted>
  <dcterms:created xsi:type="dcterms:W3CDTF">2026-06-10T22:16:00Z</dcterms:created>
  <dcterms:modified xsi:type="dcterms:W3CDTF">2026-06-10T22:16:00Z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3336200</vt:r8>
  </property>
  <property fmtid="{D5CDD505-2E9C-101B-9397-08002B2CF9AE}" pid="3" name="MediaServiceImageTags">
    <vt:lpwstr/>
  </property>
  <property fmtid="{D5CDD505-2E9C-101B-9397-08002B2CF9AE}" pid="4" name="ContentTypeId">
    <vt:lpwstr>0x01010032CBCB6B76851542994292999C6F4283</vt:lpwstr>
  </property>
  <property fmtid="{D5CDD505-2E9C-101B-9397-08002B2CF9AE}" pid="5" name="_dlc_DocIdItemGuid">
    <vt:lpwstr>b40d9bb5-b826-7de8-bbf8-979e7304c0b9</vt:lpwstr>
  </property>
  <property fmtid="{D5CDD505-2E9C-101B-9397-08002B2CF9AE}" pid="6" name="iManageFooter">
    <vt:lpwstr>#4891742v1&lt;IMANAGE&gt; - Draft new RIS template</vt:lpwstr>
  </property>
  <property fmtid="{D5CDD505-2E9C-101B-9397-08002B2CF9AE}" pid="7" name="docLang">
    <vt:lpwstr>en</vt:lpwstr>
  </property>
</Properties>
</file>